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6CEC3" w14:textId="77777777" w:rsidR="0087102B" w:rsidRDefault="70242E99" w:rsidP="0B259AD8">
      <w:pPr>
        <w:spacing w:after="0" w:line="240" w:lineRule="auto"/>
        <w:rPr>
          <w:b/>
          <w:bCs/>
          <w:sz w:val="22"/>
          <w:szCs w:val="22"/>
        </w:rPr>
      </w:pPr>
      <w:r>
        <w:rPr>
          <w:noProof/>
        </w:rPr>
        <w:drawing>
          <wp:inline distT="0" distB="0" distL="0" distR="0" wp14:anchorId="740230BA" wp14:editId="75BE8393">
            <wp:extent cx="5943600" cy="1143000"/>
            <wp:effectExtent l="0" t="0" r="0" b="0"/>
            <wp:docPr id="1304112631" name="Picture 130411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p>
    <w:p w14:paraId="74960077" w14:textId="77777777" w:rsidR="0087102B" w:rsidRDefault="0087102B" w:rsidP="0B259AD8">
      <w:pPr>
        <w:spacing w:after="0" w:line="240" w:lineRule="auto"/>
        <w:rPr>
          <w:b/>
          <w:bCs/>
          <w:sz w:val="22"/>
          <w:szCs w:val="22"/>
        </w:rPr>
      </w:pPr>
    </w:p>
    <w:p w14:paraId="3E37961E" w14:textId="75270274" w:rsidR="005F2FAF" w:rsidRDefault="4C7E894B" w:rsidP="0B259AD8">
      <w:pPr>
        <w:spacing w:after="0" w:line="240" w:lineRule="auto"/>
        <w:rPr>
          <w:b/>
          <w:bCs/>
          <w:sz w:val="22"/>
          <w:szCs w:val="22"/>
        </w:rPr>
      </w:pPr>
      <w:r w:rsidRPr="0B259AD8">
        <w:rPr>
          <w:b/>
          <w:bCs/>
          <w:sz w:val="22"/>
          <w:szCs w:val="22"/>
        </w:rPr>
        <w:t xml:space="preserve">Policy: Incumbent Worker Training Policy </w:t>
      </w:r>
    </w:p>
    <w:p w14:paraId="40AF27E4" w14:textId="0A0874E5" w:rsidR="005F2FAF" w:rsidRDefault="4C7E894B" w:rsidP="00774D53">
      <w:pPr>
        <w:spacing w:after="0" w:line="240" w:lineRule="auto"/>
        <w:rPr>
          <w:b/>
          <w:bCs/>
          <w:sz w:val="22"/>
          <w:szCs w:val="22"/>
        </w:rPr>
      </w:pPr>
      <w:r w:rsidRPr="00774D53">
        <w:rPr>
          <w:b/>
          <w:bCs/>
          <w:sz w:val="22"/>
          <w:szCs w:val="22"/>
        </w:rPr>
        <w:t xml:space="preserve">Program: WIOA </w:t>
      </w:r>
    </w:p>
    <w:p w14:paraId="6B941F76" w14:textId="06BFFDD7" w:rsidR="005F2FAF" w:rsidRDefault="12049F28" w:rsidP="00774D53">
      <w:pPr>
        <w:spacing w:after="0" w:line="240" w:lineRule="auto"/>
        <w:rPr>
          <w:b/>
          <w:bCs/>
          <w:sz w:val="22"/>
          <w:szCs w:val="22"/>
        </w:rPr>
      </w:pPr>
      <w:r w:rsidRPr="4CC7D3B2">
        <w:rPr>
          <w:b/>
          <w:bCs/>
          <w:sz w:val="22"/>
          <w:szCs w:val="22"/>
        </w:rPr>
        <w:t xml:space="preserve">Effective Date: </w:t>
      </w:r>
      <w:r w:rsidR="0CD37FD9" w:rsidRPr="4CC7D3B2">
        <w:rPr>
          <w:b/>
          <w:bCs/>
          <w:sz w:val="22"/>
          <w:szCs w:val="22"/>
        </w:rPr>
        <w:t>January 1, 2025</w:t>
      </w:r>
    </w:p>
    <w:p w14:paraId="681D647E" w14:textId="112F50A0" w:rsidR="005F2FAF" w:rsidRDefault="4C7E894B" w:rsidP="00774D53">
      <w:pPr>
        <w:spacing w:after="0" w:line="240" w:lineRule="auto"/>
        <w:rPr>
          <w:b/>
          <w:bCs/>
          <w:sz w:val="22"/>
          <w:szCs w:val="22"/>
        </w:rPr>
      </w:pPr>
      <w:r w:rsidRPr="00774D53">
        <w:rPr>
          <w:b/>
          <w:bCs/>
          <w:sz w:val="22"/>
          <w:szCs w:val="22"/>
        </w:rPr>
        <w:t xml:space="preserve">Approval: </w:t>
      </w:r>
      <w:r w:rsidR="556B6E49" w:rsidRPr="00774D53">
        <w:rPr>
          <w:b/>
          <w:bCs/>
          <w:sz w:val="22"/>
          <w:szCs w:val="22"/>
        </w:rPr>
        <w:t>Central Iowa</w:t>
      </w:r>
      <w:r w:rsidRPr="00774D53">
        <w:rPr>
          <w:b/>
          <w:bCs/>
          <w:sz w:val="22"/>
          <w:szCs w:val="22"/>
        </w:rPr>
        <w:t xml:space="preserve"> Workforce Development Board </w:t>
      </w:r>
    </w:p>
    <w:p w14:paraId="44CB48DB" w14:textId="6ACC9DCF" w:rsidR="005F2FAF" w:rsidRDefault="4C7E894B" w:rsidP="00774D53">
      <w:pPr>
        <w:spacing w:after="0" w:line="240" w:lineRule="auto"/>
        <w:rPr>
          <w:b/>
          <w:bCs/>
          <w:sz w:val="22"/>
          <w:szCs w:val="22"/>
        </w:rPr>
      </w:pPr>
      <w:r w:rsidRPr="00774D53">
        <w:rPr>
          <w:b/>
          <w:bCs/>
          <w:sz w:val="22"/>
          <w:szCs w:val="22"/>
        </w:rPr>
        <w:t xml:space="preserve">Supersedes: N/A </w:t>
      </w:r>
    </w:p>
    <w:p w14:paraId="12EF42C3" w14:textId="0B186012" w:rsidR="0B259AD8" w:rsidRDefault="0B259AD8" w:rsidP="0B259AD8">
      <w:pPr>
        <w:spacing w:after="0" w:line="240" w:lineRule="auto"/>
        <w:rPr>
          <w:b/>
          <w:bCs/>
          <w:sz w:val="22"/>
          <w:szCs w:val="22"/>
        </w:rPr>
      </w:pPr>
    </w:p>
    <w:p w14:paraId="7F76BA2A" w14:textId="337DFF33" w:rsidR="005F2FAF" w:rsidRDefault="2C361A39" w:rsidP="00774D53">
      <w:pPr>
        <w:rPr>
          <w:b/>
          <w:bCs/>
          <w:sz w:val="22"/>
          <w:szCs w:val="22"/>
        </w:rPr>
      </w:pPr>
      <w:r w:rsidRPr="00774D53">
        <w:rPr>
          <w:b/>
          <w:bCs/>
          <w:sz w:val="22"/>
          <w:szCs w:val="22"/>
        </w:rPr>
        <w:t xml:space="preserve">Purpose </w:t>
      </w:r>
    </w:p>
    <w:p w14:paraId="4483B176" w14:textId="6292D65A" w:rsidR="005F2FAF" w:rsidRDefault="76F4B010" w:rsidP="00774D53">
      <w:pPr>
        <w:rPr>
          <w:sz w:val="22"/>
          <w:szCs w:val="22"/>
        </w:rPr>
      </w:pPr>
      <w:r w:rsidRPr="5BEB9D15">
        <w:rPr>
          <w:sz w:val="22"/>
          <w:szCs w:val="22"/>
        </w:rPr>
        <w:t>The Central Iowa Workforce Development Board (</w:t>
      </w:r>
      <w:r w:rsidR="7E1958EB" w:rsidRPr="5BEB9D15">
        <w:rPr>
          <w:sz w:val="22"/>
          <w:szCs w:val="22"/>
        </w:rPr>
        <w:t>CI</w:t>
      </w:r>
      <w:r w:rsidRPr="5BEB9D15">
        <w:rPr>
          <w:sz w:val="22"/>
          <w:szCs w:val="22"/>
        </w:rPr>
        <w:t xml:space="preserve">WDB) establishes this local policy, guidance, and procedures for </w:t>
      </w:r>
      <w:r w:rsidR="46C55710" w:rsidRPr="5BEB9D15">
        <w:rPr>
          <w:sz w:val="22"/>
          <w:szCs w:val="22"/>
        </w:rPr>
        <w:t>the Incumbent Worker Training (IWT) program under the Workforce Innovation and Opportunity Act (WIOA)</w:t>
      </w:r>
      <w:r w:rsidR="620B1AA6" w:rsidRPr="5BEB9D15">
        <w:rPr>
          <w:sz w:val="22"/>
          <w:szCs w:val="22"/>
        </w:rPr>
        <w:t xml:space="preserve"> </w:t>
      </w:r>
      <w:r w:rsidR="10D08798" w:rsidRPr="5BEB9D15">
        <w:rPr>
          <w:sz w:val="22"/>
          <w:szCs w:val="22"/>
        </w:rPr>
        <w:t xml:space="preserve">as outlined in WIOA Section 134 et.al. [29 U.S.C. 3174] </w:t>
      </w:r>
      <w:r w:rsidR="23E55B9B" w:rsidRPr="5BEB9D15">
        <w:rPr>
          <w:sz w:val="22"/>
          <w:szCs w:val="22"/>
        </w:rPr>
        <w:t xml:space="preserve">and </w:t>
      </w:r>
      <w:hyperlink r:id="rId8">
        <w:r w:rsidR="73A7874A" w:rsidRPr="5BEB9D15">
          <w:rPr>
            <w:rStyle w:val="Hyperlink"/>
            <w:sz w:val="22"/>
            <w:szCs w:val="22"/>
          </w:rPr>
          <w:t>IWD E-Policy; Chapter 8, Section 1.4.7</w:t>
        </w:r>
      </w:hyperlink>
      <w:r w:rsidR="73A7874A" w:rsidRPr="5BEB9D15">
        <w:rPr>
          <w:sz w:val="22"/>
          <w:szCs w:val="22"/>
        </w:rPr>
        <w:t xml:space="preserve"> </w:t>
      </w:r>
    </w:p>
    <w:p w14:paraId="2473C53D" w14:textId="285C784B" w:rsidR="005F2FAF" w:rsidRDefault="7D0F9302" w:rsidP="00774D53">
      <w:pPr>
        <w:rPr>
          <w:b/>
          <w:bCs/>
          <w:sz w:val="22"/>
          <w:szCs w:val="22"/>
        </w:rPr>
      </w:pPr>
      <w:r w:rsidRPr="00774D53">
        <w:rPr>
          <w:b/>
          <w:bCs/>
          <w:sz w:val="22"/>
          <w:szCs w:val="22"/>
        </w:rPr>
        <w:t>Background</w:t>
      </w:r>
    </w:p>
    <w:p w14:paraId="63293566" w14:textId="040577B9" w:rsidR="005F2FAF" w:rsidRDefault="2C361A39" w:rsidP="00774D53">
      <w:pPr>
        <w:rPr>
          <w:sz w:val="22"/>
          <w:szCs w:val="22"/>
        </w:rPr>
      </w:pPr>
      <w:r w:rsidRPr="00774D53">
        <w:rPr>
          <w:sz w:val="22"/>
          <w:szCs w:val="22"/>
        </w:rPr>
        <w:t xml:space="preserve">The Incumbent Worker Training Program (IWT) is training provided by an employer to an existing employee or to a group of existing employees. Incumbent worker training under WIOA provides both workers and employers with the opportunity to build and maintain a quality workforce and increase both participants’ and companies’ competitiveness. </w:t>
      </w:r>
    </w:p>
    <w:p w14:paraId="01517078" w14:textId="16045282" w:rsidR="005F2FAF" w:rsidRDefault="109A9AA3" w:rsidP="00774D53">
      <w:pPr>
        <w:rPr>
          <w:sz w:val="22"/>
          <w:szCs w:val="22"/>
        </w:rPr>
      </w:pPr>
      <w:r w:rsidRPr="5BEB9D15">
        <w:rPr>
          <w:sz w:val="22"/>
          <w:szCs w:val="22"/>
        </w:rPr>
        <w:t>IWT</w:t>
      </w:r>
      <w:r w:rsidR="2025926A" w:rsidRPr="5BEB9D15">
        <w:rPr>
          <w:sz w:val="22"/>
          <w:szCs w:val="22"/>
        </w:rPr>
        <w:t xml:space="preserve"> Grants are designed to meet the special requirement of an employer to retain a skilled workforce or avert the need to lay off employees by assisting the workers in obtaining the skills necessary to retain employment. Grants provide both workers and employers with the opportunity to build and maintain a quality workforce. </w:t>
      </w:r>
    </w:p>
    <w:p w14:paraId="46F8A52B" w14:textId="578FA53E" w:rsidR="005F2FAF" w:rsidRDefault="3DCD01B1" w:rsidP="00774D53">
      <w:pPr>
        <w:rPr>
          <w:sz w:val="22"/>
          <w:szCs w:val="22"/>
        </w:rPr>
      </w:pPr>
      <w:r w:rsidRPr="00774D53">
        <w:rPr>
          <w:sz w:val="22"/>
          <w:szCs w:val="22"/>
        </w:rPr>
        <w:t xml:space="preserve">The IWT </w:t>
      </w:r>
      <w:r w:rsidR="2025926A" w:rsidRPr="00774D53">
        <w:rPr>
          <w:sz w:val="22"/>
          <w:szCs w:val="22"/>
        </w:rPr>
        <w:t xml:space="preserve">Grant Program is a business-driven program designed to meet the needs of an employer or group of employers. There is an expectation that the employee will be promoted or retained by the company after they receive training. Ideally, this would also create additional back-fill opportunities for other workers. </w:t>
      </w:r>
    </w:p>
    <w:p w14:paraId="5D274E6E" w14:textId="7EC11A87" w:rsidR="005F2FAF" w:rsidRDefault="2025926A" w:rsidP="00774D53">
      <w:pPr>
        <w:rPr>
          <w:sz w:val="22"/>
          <w:szCs w:val="22"/>
        </w:rPr>
      </w:pPr>
      <w:r w:rsidRPr="00774D53">
        <w:rPr>
          <w:sz w:val="22"/>
          <w:szCs w:val="22"/>
        </w:rPr>
        <w:t>The program is intended to offset a portion, via reimbursement, of the business’s cost to train and upgrade the skills of its employees. Eligible businesses must demonstrate that by receiving funding assistance through the program, their business will not only improve the skills of their workers but also improve their business processes and competitiveness and decrease the risk of permanent layoffs.</w:t>
      </w:r>
    </w:p>
    <w:p w14:paraId="51F6C696" w14:textId="77777777" w:rsidR="0087102B" w:rsidRDefault="0087102B" w:rsidP="00774D53">
      <w:pPr>
        <w:rPr>
          <w:sz w:val="22"/>
          <w:szCs w:val="22"/>
        </w:rPr>
      </w:pPr>
    </w:p>
    <w:p w14:paraId="7B229F5E" w14:textId="77777777" w:rsidR="0087102B" w:rsidRDefault="0087102B" w:rsidP="00774D53">
      <w:pPr>
        <w:rPr>
          <w:sz w:val="22"/>
          <w:szCs w:val="22"/>
        </w:rPr>
      </w:pPr>
    </w:p>
    <w:p w14:paraId="5401D0CE" w14:textId="73B2C8B1" w:rsidR="005F2FAF" w:rsidRDefault="2025926A" w:rsidP="00774D53">
      <w:pPr>
        <w:rPr>
          <w:b/>
          <w:bCs/>
          <w:sz w:val="22"/>
          <w:szCs w:val="22"/>
        </w:rPr>
      </w:pPr>
      <w:r w:rsidRPr="00774D53">
        <w:rPr>
          <w:b/>
          <w:bCs/>
          <w:sz w:val="22"/>
          <w:szCs w:val="22"/>
        </w:rPr>
        <w:lastRenderedPageBreak/>
        <w:t>Policy</w:t>
      </w:r>
    </w:p>
    <w:p w14:paraId="0AE2CBBB" w14:textId="75857039" w:rsidR="005F2FAF" w:rsidRDefault="2C361A39" w:rsidP="00774D53">
      <w:pPr>
        <w:rPr>
          <w:sz w:val="22"/>
          <w:szCs w:val="22"/>
        </w:rPr>
      </w:pPr>
      <w:r w:rsidRPr="5BEB9D15">
        <w:rPr>
          <w:sz w:val="22"/>
          <w:szCs w:val="22"/>
        </w:rPr>
        <w:t xml:space="preserve">This policy outlines the guidelines to assist providers of WIOA Title I services in the planning and execution of an IWT training program. </w:t>
      </w:r>
      <w:r w:rsidR="23448B11" w:rsidRPr="5BEB9D15">
        <w:rPr>
          <w:sz w:val="22"/>
          <w:szCs w:val="22"/>
        </w:rPr>
        <w:t xml:space="preserve"> </w:t>
      </w:r>
      <w:r w:rsidRPr="5BEB9D15">
        <w:rPr>
          <w:sz w:val="22"/>
          <w:szCs w:val="22"/>
        </w:rPr>
        <w:t xml:space="preserve">Agreements for IWT services must be in writing and must ensure that participants are </w:t>
      </w:r>
      <w:r w:rsidR="1CBC7FF5" w:rsidRPr="5BEB9D15">
        <w:rPr>
          <w:sz w:val="22"/>
          <w:szCs w:val="22"/>
        </w:rPr>
        <w:t>provided with</w:t>
      </w:r>
      <w:r w:rsidRPr="5BEB9D15">
        <w:rPr>
          <w:sz w:val="22"/>
          <w:szCs w:val="22"/>
        </w:rPr>
        <w:t xml:space="preserve"> a structured training opportunity to gain the knowledge and competencies necessary to be successful in the occupation in which they receive training.</w:t>
      </w:r>
    </w:p>
    <w:p w14:paraId="484CC725" w14:textId="654F337C" w:rsidR="005F2FAF" w:rsidRDefault="46BC1B35" w:rsidP="00774D53">
      <w:pPr>
        <w:rPr>
          <w:b/>
          <w:bCs/>
          <w:sz w:val="22"/>
          <w:szCs w:val="22"/>
        </w:rPr>
      </w:pPr>
      <w:r w:rsidRPr="00774D53">
        <w:rPr>
          <w:b/>
          <w:bCs/>
          <w:sz w:val="22"/>
          <w:szCs w:val="22"/>
        </w:rPr>
        <w:t>Program Overview</w:t>
      </w:r>
    </w:p>
    <w:p w14:paraId="4FF9C19D" w14:textId="60AED7D7" w:rsidR="005F2FAF" w:rsidRDefault="3FC5E862" w:rsidP="00774D53">
      <w:pPr>
        <w:rPr>
          <w:color w:val="333333"/>
          <w:sz w:val="22"/>
          <w:szCs w:val="22"/>
        </w:rPr>
      </w:pPr>
      <w:r w:rsidRPr="00774D53">
        <w:rPr>
          <w:color w:val="333333"/>
          <w:sz w:val="22"/>
          <w:szCs w:val="22"/>
        </w:rPr>
        <w:t xml:space="preserve">Incumbent Worker Training (IWT) is designed to ensure that employees of a company </w:t>
      </w:r>
      <w:r w:rsidR="41B7BBB9" w:rsidRPr="00774D53">
        <w:rPr>
          <w:color w:val="333333"/>
          <w:sz w:val="22"/>
          <w:szCs w:val="22"/>
        </w:rPr>
        <w:t>can</w:t>
      </w:r>
      <w:r w:rsidRPr="00774D53">
        <w:rPr>
          <w:color w:val="333333"/>
          <w:sz w:val="22"/>
          <w:szCs w:val="22"/>
        </w:rPr>
        <w:t xml:space="preserve"> gain the skills necessary to retain employment and advance within the company or to provide the skills necessary to avert a layoff. Such training must increase both a participant’s and a company’s competitiveness.</w:t>
      </w:r>
    </w:p>
    <w:p w14:paraId="5A569646" w14:textId="16B2EEA9" w:rsidR="005F2FAF" w:rsidRDefault="4E9854EF" w:rsidP="00774D53">
      <w:pPr>
        <w:rPr>
          <w:sz w:val="22"/>
          <w:szCs w:val="22"/>
        </w:rPr>
      </w:pPr>
      <w:r w:rsidRPr="00774D53">
        <w:rPr>
          <w:sz w:val="22"/>
          <w:szCs w:val="22"/>
        </w:rPr>
        <w:t xml:space="preserve">The IWT program provides flexibility regarding the type(s) of training and the training provider(s). Based on the needs of the company and its overall workforce development needs, the company chooses its training and training provider that provides employees with opportunities to acquire new or improved skills. </w:t>
      </w:r>
    </w:p>
    <w:p w14:paraId="3DB0CDC3" w14:textId="11E4FF88" w:rsidR="005F2FAF" w:rsidRDefault="4E9854EF" w:rsidP="00774D53">
      <w:pPr>
        <w:rPr>
          <w:sz w:val="22"/>
          <w:szCs w:val="22"/>
        </w:rPr>
      </w:pPr>
      <w:r w:rsidRPr="00774D53">
        <w:rPr>
          <w:sz w:val="22"/>
          <w:szCs w:val="22"/>
        </w:rPr>
        <w:t>Training can include, but is not limited to, industry or employer-specific work skills, basic job skills, technical computer skills, new manufacturing technologies, equipment operation training, changes in production processes, and skills such as leadership, teamwork, communication, conflict resolution, and management skills if the employer can document the  need and effect on employee production and/or retention with the company.</w:t>
      </w:r>
    </w:p>
    <w:p w14:paraId="7B95B502" w14:textId="22AB7D76" w:rsidR="005F2FAF" w:rsidRDefault="401BBB32" w:rsidP="00774D53">
      <w:pPr>
        <w:shd w:val="clear" w:color="auto" w:fill="FFFFFF" w:themeFill="background1"/>
        <w:spacing w:after="150"/>
        <w:rPr>
          <w:color w:val="333333"/>
          <w:sz w:val="22"/>
          <w:szCs w:val="22"/>
        </w:rPr>
      </w:pPr>
      <w:r w:rsidRPr="00774D53">
        <w:rPr>
          <w:color w:val="333333"/>
          <w:sz w:val="22"/>
          <w:szCs w:val="22"/>
        </w:rPr>
        <w:t>Incumbent worker training considerations:</w:t>
      </w:r>
    </w:p>
    <w:p w14:paraId="6728B109" w14:textId="07AF0B55" w:rsidR="005F2FAF" w:rsidRDefault="401BBB32" w:rsidP="5BEB9D15">
      <w:pPr>
        <w:pStyle w:val="ListParagraph"/>
        <w:numPr>
          <w:ilvl w:val="0"/>
          <w:numId w:val="8"/>
        </w:numPr>
        <w:shd w:val="clear" w:color="auto" w:fill="FFFFFF" w:themeFill="background1"/>
        <w:spacing w:after="0"/>
        <w:rPr>
          <w:color w:val="333333"/>
          <w:sz w:val="22"/>
          <w:szCs w:val="22"/>
        </w:rPr>
      </w:pPr>
      <w:r w:rsidRPr="5BEB9D15">
        <w:rPr>
          <w:color w:val="333333"/>
          <w:sz w:val="22"/>
          <w:szCs w:val="22"/>
        </w:rPr>
        <w:t>The local area may use up to 20 percent of their local adult and dislocated worker funds for incumbent worker training.  However, the area is not under any obligation to do so.</w:t>
      </w:r>
    </w:p>
    <w:p w14:paraId="7668311D" w14:textId="1075E186" w:rsidR="005F2FAF" w:rsidRDefault="401BBB32" w:rsidP="00774D53">
      <w:pPr>
        <w:pStyle w:val="ListParagraph"/>
        <w:numPr>
          <w:ilvl w:val="0"/>
          <w:numId w:val="8"/>
        </w:numPr>
        <w:shd w:val="clear" w:color="auto" w:fill="FFFFFF" w:themeFill="background1"/>
        <w:spacing w:after="0"/>
        <w:rPr>
          <w:color w:val="333333"/>
          <w:sz w:val="22"/>
          <w:szCs w:val="22"/>
        </w:rPr>
      </w:pPr>
      <w:r w:rsidRPr="00774D53">
        <w:rPr>
          <w:color w:val="333333"/>
          <w:sz w:val="22"/>
          <w:szCs w:val="22"/>
        </w:rPr>
        <w:t>The training should, wherever possible, allow the participant to gain industry-recognized training experience. It ultimately should lead to an increase in wages.</w:t>
      </w:r>
    </w:p>
    <w:p w14:paraId="65C314C3" w14:textId="5158BDA1" w:rsidR="005F2FAF" w:rsidRDefault="401BBB32" w:rsidP="00774D53">
      <w:pPr>
        <w:pStyle w:val="ListParagraph"/>
        <w:numPr>
          <w:ilvl w:val="0"/>
          <w:numId w:val="8"/>
        </w:numPr>
        <w:shd w:val="clear" w:color="auto" w:fill="FFFFFF" w:themeFill="background1"/>
        <w:spacing w:after="0"/>
        <w:rPr>
          <w:color w:val="333333"/>
          <w:sz w:val="22"/>
          <w:szCs w:val="22"/>
        </w:rPr>
      </w:pPr>
      <w:r w:rsidRPr="00774D53">
        <w:rPr>
          <w:color w:val="333333"/>
          <w:sz w:val="22"/>
          <w:szCs w:val="22"/>
        </w:rPr>
        <w:t>An incumbent worker is employed with the company when the incumbent worker training starts.</w:t>
      </w:r>
    </w:p>
    <w:p w14:paraId="7790F266" w14:textId="07C3A4DB" w:rsidR="005F2FAF" w:rsidRDefault="401BBB32" w:rsidP="00774D53">
      <w:pPr>
        <w:pStyle w:val="ListParagraph"/>
        <w:numPr>
          <w:ilvl w:val="0"/>
          <w:numId w:val="8"/>
        </w:numPr>
        <w:shd w:val="clear" w:color="auto" w:fill="FFFFFF" w:themeFill="background1"/>
        <w:spacing w:after="0"/>
        <w:rPr>
          <w:color w:val="333333"/>
          <w:sz w:val="22"/>
          <w:szCs w:val="22"/>
        </w:rPr>
      </w:pPr>
      <w:r w:rsidRPr="00774D53">
        <w:rPr>
          <w:color w:val="333333"/>
          <w:sz w:val="22"/>
          <w:szCs w:val="22"/>
        </w:rPr>
        <w:t>Contract funds are paid to the employer for training provided to the incumbent worker either to avert a lay-off or otherwise retain employment.</w:t>
      </w:r>
    </w:p>
    <w:p w14:paraId="63041228" w14:textId="2F475555" w:rsidR="005F2FAF" w:rsidRDefault="401BBB32" w:rsidP="00774D53">
      <w:pPr>
        <w:pStyle w:val="ListParagraph"/>
        <w:numPr>
          <w:ilvl w:val="0"/>
          <w:numId w:val="8"/>
        </w:numPr>
        <w:shd w:val="clear" w:color="auto" w:fill="FFFFFF" w:themeFill="background1"/>
        <w:spacing w:after="0"/>
        <w:rPr>
          <w:color w:val="333333"/>
          <w:sz w:val="22"/>
          <w:szCs w:val="22"/>
        </w:rPr>
      </w:pPr>
      <w:r w:rsidRPr="00774D53">
        <w:rPr>
          <w:color w:val="333333"/>
          <w:sz w:val="22"/>
          <w:szCs w:val="22"/>
        </w:rPr>
        <w:t xml:space="preserve">An ideal incumbent worker training would be one where a participant acquires new skills allowing him or her to move into a higher skilled and higher paid job within the company. In turn this would allow the company to hire a job seeker to </w:t>
      </w:r>
      <w:proofErr w:type="gramStart"/>
      <w:r w:rsidRPr="00774D53">
        <w:rPr>
          <w:color w:val="333333"/>
          <w:sz w:val="22"/>
          <w:szCs w:val="22"/>
        </w:rPr>
        <w:t>backfill</w:t>
      </w:r>
      <w:proofErr w:type="gramEnd"/>
      <w:r w:rsidRPr="00774D53">
        <w:rPr>
          <w:color w:val="333333"/>
          <w:sz w:val="22"/>
          <w:szCs w:val="22"/>
        </w:rPr>
        <w:t xml:space="preserve"> the incumbent worker’s position.  </w:t>
      </w:r>
    </w:p>
    <w:p w14:paraId="0D5D8AED" w14:textId="74203261" w:rsidR="005F2FAF" w:rsidRDefault="401BBB32" w:rsidP="00774D53">
      <w:pPr>
        <w:pStyle w:val="ListParagraph"/>
        <w:numPr>
          <w:ilvl w:val="0"/>
          <w:numId w:val="8"/>
        </w:numPr>
        <w:shd w:val="clear" w:color="auto" w:fill="FFFFFF" w:themeFill="background1"/>
        <w:spacing w:after="0"/>
        <w:rPr>
          <w:color w:val="333333"/>
          <w:sz w:val="22"/>
          <w:szCs w:val="22"/>
        </w:rPr>
      </w:pPr>
      <w:r w:rsidRPr="00774D53">
        <w:rPr>
          <w:color w:val="333333"/>
          <w:sz w:val="22"/>
          <w:szCs w:val="22"/>
        </w:rPr>
        <w:t xml:space="preserve">The employer or group of employers must pay for a portion of the cost of providing the training to incumbent workers.  </w:t>
      </w:r>
    </w:p>
    <w:p w14:paraId="44852C1A" w14:textId="79E921FF" w:rsidR="005F2FAF" w:rsidRDefault="005F2FAF" w:rsidP="5BEB9D15">
      <w:pPr>
        <w:pStyle w:val="ListParagraph"/>
        <w:shd w:val="clear" w:color="auto" w:fill="FFFFFF" w:themeFill="background1"/>
        <w:spacing w:after="0"/>
        <w:rPr>
          <w:color w:val="333333"/>
          <w:sz w:val="22"/>
          <w:szCs w:val="22"/>
        </w:rPr>
      </w:pPr>
    </w:p>
    <w:p w14:paraId="4551A0A6" w14:textId="41B5BFA7" w:rsidR="005F2FAF" w:rsidRDefault="3F322437" w:rsidP="00774D53">
      <w:pPr>
        <w:rPr>
          <w:sz w:val="22"/>
          <w:szCs w:val="22"/>
        </w:rPr>
      </w:pPr>
      <w:r w:rsidRPr="00774D53">
        <w:rPr>
          <w:color w:val="333333"/>
          <w:sz w:val="22"/>
          <w:szCs w:val="22"/>
        </w:rPr>
        <w:t>The cost sharing requirement for employers participating in incumbent worker training is to pay for the non-federal share of the cost of providing training to incumbent workers of the employers.</w:t>
      </w:r>
    </w:p>
    <w:p w14:paraId="4EF4824C" w14:textId="05AE5293" w:rsidR="005F2FAF" w:rsidRDefault="3F322437" w:rsidP="00774D53">
      <w:pPr>
        <w:shd w:val="clear" w:color="auto" w:fill="FFFFFF" w:themeFill="background1"/>
        <w:spacing w:after="150"/>
        <w:rPr>
          <w:color w:val="333333"/>
          <w:sz w:val="22"/>
          <w:szCs w:val="22"/>
        </w:rPr>
      </w:pPr>
      <w:r w:rsidRPr="00774D53">
        <w:rPr>
          <w:color w:val="333333"/>
          <w:sz w:val="22"/>
          <w:szCs w:val="22"/>
        </w:rPr>
        <w:lastRenderedPageBreak/>
        <w:t>The non-federal share shall not be less than:</w:t>
      </w:r>
    </w:p>
    <w:p w14:paraId="48CE468E" w14:textId="30E8E9D6" w:rsidR="005F2FAF" w:rsidRDefault="3F322437" w:rsidP="00774D53">
      <w:pPr>
        <w:pStyle w:val="ListParagraph"/>
        <w:numPr>
          <w:ilvl w:val="0"/>
          <w:numId w:val="13"/>
        </w:numPr>
        <w:shd w:val="clear" w:color="auto" w:fill="FFFFFF" w:themeFill="background1"/>
        <w:spacing w:after="0"/>
        <w:rPr>
          <w:color w:val="333333"/>
          <w:sz w:val="22"/>
          <w:szCs w:val="22"/>
        </w:rPr>
      </w:pPr>
      <w:r w:rsidRPr="00774D53">
        <w:rPr>
          <w:color w:val="333333"/>
          <w:sz w:val="22"/>
          <w:szCs w:val="22"/>
        </w:rPr>
        <w:t xml:space="preserve">10 percent of the cost for employers with not more than 50 employees  </w:t>
      </w:r>
    </w:p>
    <w:p w14:paraId="6E2E18A8" w14:textId="33E6F0CF" w:rsidR="005F2FAF" w:rsidRDefault="3F322437" w:rsidP="00774D53">
      <w:pPr>
        <w:pStyle w:val="ListParagraph"/>
        <w:numPr>
          <w:ilvl w:val="0"/>
          <w:numId w:val="13"/>
        </w:numPr>
        <w:shd w:val="clear" w:color="auto" w:fill="FFFFFF" w:themeFill="background1"/>
        <w:spacing w:after="0"/>
        <w:rPr>
          <w:color w:val="333333"/>
          <w:sz w:val="22"/>
          <w:szCs w:val="22"/>
        </w:rPr>
      </w:pPr>
      <w:r w:rsidRPr="00774D53">
        <w:rPr>
          <w:color w:val="333333"/>
          <w:sz w:val="22"/>
          <w:szCs w:val="22"/>
        </w:rPr>
        <w:t>25 percent of the cost for employers with more than 50 employees but not more than 100 employees; or</w:t>
      </w:r>
    </w:p>
    <w:p w14:paraId="5326DF39" w14:textId="70BEE926" w:rsidR="005F2FAF" w:rsidRDefault="3F322437" w:rsidP="00774D53">
      <w:pPr>
        <w:pStyle w:val="ListParagraph"/>
        <w:numPr>
          <w:ilvl w:val="0"/>
          <w:numId w:val="13"/>
        </w:numPr>
        <w:shd w:val="clear" w:color="auto" w:fill="FFFFFF" w:themeFill="background1"/>
        <w:spacing w:after="0"/>
        <w:rPr>
          <w:color w:val="333333"/>
          <w:sz w:val="22"/>
          <w:szCs w:val="22"/>
        </w:rPr>
      </w:pPr>
      <w:r w:rsidRPr="00774D53">
        <w:rPr>
          <w:color w:val="333333"/>
          <w:sz w:val="22"/>
          <w:szCs w:val="22"/>
        </w:rPr>
        <w:t>50 percent of the cost for employers with more than 100 employees</w:t>
      </w:r>
    </w:p>
    <w:p w14:paraId="18EC30FF" w14:textId="1234ED5E" w:rsidR="005F2FAF" w:rsidRDefault="005F2FAF" w:rsidP="5BEB9D15">
      <w:pPr>
        <w:pStyle w:val="ListParagraph"/>
        <w:shd w:val="clear" w:color="auto" w:fill="FFFFFF" w:themeFill="background1"/>
        <w:spacing w:after="0"/>
        <w:rPr>
          <w:color w:val="333333"/>
          <w:sz w:val="22"/>
          <w:szCs w:val="22"/>
        </w:rPr>
      </w:pPr>
    </w:p>
    <w:p w14:paraId="3C49C74A" w14:textId="7778E123" w:rsidR="005F2FAF" w:rsidRDefault="3F322437" w:rsidP="00774D53">
      <w:pPr>
        <w:shd w:val="clear" w:color="auto" w:fill="FFFFFF" w:themeFill="background1"/>
        <w:spacing w:after="150"/>
        <w:rPr>
          <w:color w:val="333333"/>
          <w:sz w:val="22"/>
          <w:szCs w:val="22"/>
        </w:rPr>
      </w:pPr>
      <w:r w:rsidRPr="00774D53">
        <w:rPr>
          <w:color w:val="333333"/>
          <w:sz w:val="22"/>
          <w:szCs w:val="22"/>
        </w:rPr>
        <w:t>The non-federal share provided by an employer participating in the program may include the amount of the wages paid by the employer to a worker while the worker is attending an incumbent worker training program. The employer share may be in cash or in kind.</w:t>
      </w:r>
    </w:p>
    <w:p w14:paraId="6DC3AF91" w14:textId="2B043632" w:rsidR="005F2FAF" w:rsidRDefault="3F322437" w:rsidP="00774D53">
      <w:pPr>
        <w:shd w:val="clear" w:color="auto" w:fill="FFFFFF" w:themeFill="background1"/>
        <w:spacing w:after="150"/>
        <w:rPr>
          <w:color w:val="333333"/>
          <w:sz w:val="22"/>
          <w:szCs w:val="22"/>
        </w:rPr>
      </w:pPr>
      <w:r w:rsidRPr="00774D53">
        <w:rPr>
          <w:color w:val="333333"/>
          <w:sz w:val="22"/>
          <w:szCs w:val="22"/>
        </w:rPr>
        <w:t>An incumbent worker does not have to meet the eligibility requirements for career and training services for adults and dislocated workers under WIOA, unless they are also enrolled as a participant in the WIOA Title I adult or dislocated worker program.</w:t>
      </w:r>
    </w:p>
    <w:p w14:paraId="5C1CC7CA" w14:textId="628454B6" w:rsidR="005F2FAF" w:rsidRDefault="3F322437" w:rsidP="00774D53">
      <w:pPr>
        <w:shd w:val="clear" w:color="auto" w:fill="FFFFFF" w:themeFill="background1"/>
        <w:spacing w:after="150"/>
        <w:rPr>
          <w:color w:val="333333"/>
          <w:sz w:val="22"/>
          <w:szCs w:val="22"/>
        </w:rPr>
      </w:pPr>
      <w:r w:rsidRPr="00774D53">
        <w:rPr>
          <w:color w:val="333333"/>
          <w:sz w:val="22"/>
          <w:szCs w:val="22"/>
        </w:rPr>
        <w:t>IWT can also be used for underemployed workers—e.g. workers who would prefer full-time work but are working part-time for economic reasons. While these workers are employed, they may have accepted reduced hours to gain or maintain employment or a previous dislocation has led them to accept reduced employment and often lower wages that may have a permanent effect on their careers.</w:t>
      </w:r>
    </w:p>
    <w:p w14:paraId="0E007A2E" w14:textId="7A9EE14F" w:rsidR="005F2FAF" w:rsidRDefault="1263BCED" w:rsidP="00774D53">
      <w:pPr>
        <w:rPr>
          <w:color w:val="333333"/>
          <w:sz w:val="22"/>
          <w:szCs w:val="22"/>
          <w:u w:val="single"/>
        </w:rPr>
      </w:pPr>
      <w:r w:rsidRPr="00774D53">
        <w:rPr>
          <w:color w:val="333333"/>
          <w:sz w:val="22"/>
          <w:szCs w:val="22"/>
          <w:u w:val="single"/>
        </w:rPr>
        <w:t>Employer Eligibility</w:t>
      </w:r>
    </w:p>
    <w:p w14:paraId="01CF4064" w14:textId="6B1FD838" w:rsidR="005F2FAF" w:rsidRDefault="6D20099D" w:rsidP="00774D53">
      <w:pPr>
        <w:rPr>
          <w:sz w:val="22"/>
          <w:szCs w:val="22"/>
        </w:rPr>
      </w:pPr>
      <w:r w:rsidRPr="00774D53">
        <w:rPr>
          <w:sz w:val="22"/>
          <w:szCs w:val="22"/>
        </w:rPr>
        <w:t xml:space="preserve">Employers applying for a Grant must meet the following criteria: </w:t>
      </w:r>
    </w:p>
    <w:p w14:paraId="0007B61E" w14:textId="7CB783A8" w:rsidR="005F2FAF" w:rsidRDefault="6D20099D" w:rsidP="00774D53">
      <w:pPr>
        <w:pStyle w:val="ListParagraph"/>
        <w:numPr>
          <w:ilvl w:val="0"/>
          <w:numId w:val="3"/>
        </w:numPr>
        <w:rPr>
          <w:sz w:val="22"/>
          <w:szCs w:val="22"/>
        </w:rPr>
      </w:pPr>
      <w:r w:rsidRPr="00774D53">
        <w:rPr>
          <w:sz w:val="22"/>
          <w:szCs w:val="22"/>
        </w:rPr>
        <w:t xml:space="preserve">Financially viable, private sector employers and certain nonprofit entities are eligible to receive </w:t>
      </w:r>
      <w:r w:rsidR="79F7A612" w:rsidRPr="00774D53">
        <w:rPr>
          <w:sz w:val="22"/>
          <w:szCs w:val="22"/>
        </w:rPr>
        <w:t>IWT</w:t>
      </w:r>
      <w:r w:rsidRPr="00774D53">
        <w:rPr>
          <w:sz w:val="22"/>
          <w:szCs w:val="22"/>
        </w:rPr>
        <w:t xml:space="preserve"> funds. </w:t>
      </w:r>
    </w:p>
    <w:p w14:paraId="700C4651" w14:textId="78DDC066" w:rsidR="005F2FAF" w:rsidRDefault="6D20099D" w:rsidP="00774D53">
      <w:pPr>
        <w:pStyle w:val="ListParagraph"/>
        <w:numPr>
          <w:ilvl w:val="0"/>
          <w:numId w:val="3"/>
        </w:numPr>
        <w:rPr>
          <w:sz w:val="22"/>
          <w:szCs w:val="22"/>
        </w:rPr>
      </w:pPr>
      <w:r w:rsidRPr="00774D53">
        <w:rPr>
          <w:sz w:val="22"/>
          <w:szCs w:val="22"/>
        </w:rPr>
        <w:t xml:space="preserve">The business or businesses must have been in operation for 12 months, not currently or recently experiencing bankruptcy, be current on all local, state, and federal tax obligations, and not appear on any federal suspensions or debarment lists. </w:t>
      </w:r>
    </w:p>
    <w:p w14:paraId="2FE95F4C" w14:textId="098A7F4C" w:rsidR="005F2FAF" w:rsidRDefault="6D20099D" w:rsidP="00774D53">
      <w:pPr>
        <w:pStyle w:val="ListParagraph"/>
        <w:numPr>
          <w:ilvl w:val="0"/>
          <w:numId w:val="3"/>
        </w:numPr>
        <w:rPr>
          <w:sz w:val="22"/>
          <w:szCs w:val="22"/>
        </w:rPr>
      </w:pPr>
      <w:r w:rsidRPr="5BEB9D15">
        <w:rPr>
          <w:sz w:val="22"/>
          <w:szCs w:val="22"/>
        </w:rPr>
        <w:t xml:space="preserve">An eligible business must </w:t>
      </w:r>
      <w:proofErr w:type="gramStart"/>
      <w:r w:rsidRPr="5BEB9D15">
        <w:rPr>
          <w:sz w:val="22"/>
          <w:szCs w:val="22"/>
        </w:rPr>
        <w:t>be located in</w:t>
      </w:r>
      <w:proofErr w:type="gramEnd"/>
      <w:r w:rsidRPr="5BEB9D15">
        <w:rPr>
          <w:sz w:val="22"/>
          <w:szCs w:val="22"/>
        </w:rPr>
        <w:t xml:space="preserve"> Iowa and registered with the Iowa Secretary of State Office and have a physical location in the </w:t>
      </w:r>
      <w:r w:rsidR="5CCE2022" w:rsidRPr="5BEB9D15">
        <w:rPr>
          <w:sz w:val="22"/>
          <w:szCs w:val="22"/>
        </w:rPr>
        <w:t>Central Iowa Local</w:t>
      </w:r>
      <w:r w:rsidRPr="5BEB9D15">
        <w:rPr>
          <w:sz w:val="22"/>
          <w:szCs w:val="22"/>
        </w:rPr>
        <w:t xml:space="preserve"> Workforce Area (</w:t>
      </w:r>
      <w:r w:rsidR="13B95727" w:rsidRPr="5BEB9D15">
        <w:rPr>
          <w:sz w:val="22"/>
          <w:szCs w:val="22"/>
        </w:rPr>
        <w:t>CILWD</w:t>
      </w:r>
      <w:r w:rsidRPr="5BEB9D15">
        <w:rPr>
          <w:sz w:val="22"/>
          <w:szCs w:val="22"/>
        </w:rPr>
        <w:t xml:space="preserve">A). </w:t>
      </w:r>
    </w:p>
    <w:p w14:paraId="2E73A3F6" w14:textId="78A4824A" w:rsidR="005F2FAF" w:rsidRDefault="6D20099D" w:rsidP="00774D53">
      <w:pPr>
        <w:pStyle w:val="ListParagraph"/>
        <w:numPr>
          <w:ilvl w:val="0"/>
          <w:numId w:val="3"/>
        </w:numPr>
        <w:rPr>
          <w:sz w:val="22"/>
          <w:szCs w:val="22"/>
        </w:rPr>
      </w:pPr>
      <w:r w:rsidRPr="5BEB9D15">
        <w:rPr>
          <w:sz w:val="22"/>
          <w:szCs w:val="22"/>
        </w:rPr>
        <w:t xml:space="preserve">Businesses are encouraged to provide training to a group of employees and not individual training. </w:t>
      </w:r>
    </w:p>
    <w:p w14:paraId="391C44F1" w14:textId="0562C15C" w:rsidR="005F2FAF" w:rsidRDefault="6D20099D" w:rsidP="00774D53">
      <w:pPr>
        <w:pStyle w:val="ListParagraph"/>
        <w:numPr>
          <w:ilvl w:val="0"/>
          <w:numId w:val="3"/>
        </w:numPr>
        <w:rPr>
          <w:sz w:val="22"/>
          <w:szCs w:val="22"/>
        </w:rPr>
      </w:pPr>
      <w:r w:rsidRPr="00774D53">
        <w:rPr>
          <w:sz w:val="22"/>
          <w:szCs w:val="22"/>
        </w:rPr>
        <w:t>Businesses should also demonstrate a commitment to retain or avert the layoff of employees receiving training.</w:t>
      </w:r>
    </w:p>
    <w:p w14:paraId="2EE444F8" w14:textId="4DF36E73" w:rsidR="005F2FAF" w:rsidRDefault="010CCB4C" w:rsidP="00774D53">
      <w:pPr>
        <w:rPr>
          <w:sz w:val="22"/>
          <w:szCs w:val="22"/>
        </w:rPr>
      </w:pPr>
      <w:r w:rsidRPr="00774D53">
        <w:rPr>
          <w:sz w:val="22"/>
          <w:szCs w:val="22"/>
        </w:rPr>
        <w:t>The employer must agree to provide performance records and keep accurate records of the project’s implementation process and certify that all information provided, to request reimbursements and report training activity, is accurate and true, including evidence that the business has paid the training expenses in accordance with the terms of the agreement prior to requesting reimbursement of allowable training costs.</w:t>
      </w:r>
    </w:p>
    <w:p w14:paraId="51DF670A" w14:textId="2A99A6A3" w:rsidR="005F2FAF" w:rsidRDefault="6DD40200" w:rsidP="00774D53">
      <w:pPr>
        <w:rPr>
          <w:sz w:val="22"/>
          <w:szCs w:val="22"/>
          <w:u w:val="single"/>
        </w:rPr>
      </w:pPr>
      <w:r w:rsidRPr="00774D53">
        <w:rPr>
          <w:sz w:val="22"/>
          <w:szCs w:val="22"/>
          <w:u w:val="single"/>
        </w:rPr>
        <w:t>Ineligible Businesses</w:t>
      </w:r>
    </w:p>
    <w:p w14:paraId="0FEF4FA3" w14:textId="198C1068" w:rsidR="005F2FAF" w:rsidRDefault="6DD40200" w:rsidP="00774D53">
      <w:pPr>
        <w:pStyle w:val="ListParagraph"/>
        <w:numPr>
          <w:ilvl w:val="0"/>
          <w:numId w:val="2"/>
        </w:numPr>
        <w:rPr>
          <w:sz w:val="22"/>
          <w:szCs w:val="22"/>
        </w:rPr>
      </w:pPr>
      <w:r w:rsidRPr="00774D53">
        <w:rPr>
          <w:sz w:val="22"/>
          <w:szCs w:val="22"/>
        </w:rPr>
        <w:lastRenderedPageBreak/>
        <w:t>Central Iowa Local Workforce Area administrative entities and contracted service providers.</w:t>
      </w:r>
    </w:p>
    <w:p w14:paraId="117BF9CB" w14:textId="6FA797C0" w:rsidR="005F2FAF" w:rsidRDefault="6DD40200" w:rsidP="00774D53">
      <w:pPr>
        <w:pStyle w:val="ListParagraph"/>
        <w:numPr>
          <w:ilvl w:val="0"/>
          <w:numId w:val="2"/>
        </w:numPr>
        <w:rPr>
          <w:sz w:val="22"/>
          <w:szCs w:val="22"/>
        </w:rPr>
      </w:pPr>
      <w:proofErr w:type="spellStart"/>
      <w:r w:rsidRPr="00774D53">
        <w:rPr>
          <w:sz w:val="22"/>
          <w:szCs w:val="22"/>
        </w:rPr>
        <w:t>Iowa</w:t>
      </w:r>
      <w:r w:rsidRPr="00774D53">
        <w:rPr>
          <w:i/>
          <w:iCs/>
          <w:sz w:val="22"/>
          <w:szCs w:val="22"/>
        </w:rPr>
        <w:t>WORKS</w:t>
      </w:r>
      <w:proofErr w:type="spellEnd"/>
      <w:r w:rsidRPr="00774D53">
        <w:rPr>
          <w:sz w:val="22"/>
          <w:szCs w:val="22"/>
        </w:rPr>
        <w:t xml:space="preserve"> Memorandum of Understanding partners.</w:t>
      </w:r>
    </w:p>
    <w:p w14:paraId="62A5AF31" w14:textId="2491D522" w:rsidR="005F2FAF" w:rsidRDefault="6DD40200" w:rsidP="00774D53">
      <w:pPr>
        <w:pStyle w:val="ListParagraph"/>
        <w:numPr>
          <w:ilvl w:val="0"/>
          <w:numId w:val="2"/>
        </w:numPr>
        <w:rPr>
          <w:sz w:val="22"/>
          <w:szCs w:val="22"/>
        </w:rPr>
      </w:pPr>
      <w:r w:rsidRPr="00774D53">
        <w:rPr>
          <w:sz w:val="22"/>
          <w:szCs w:val="22"/>
        </w:rPr>
        <w:t xml:space="preserve">Labor unions. </w:t>
      </w:r>
    </w:p>
    <w:p w14:paraId="7495F38F" w14:textId="5C1CD69D" w:rsidR="005F2FAF" w:rsidRDefault="6DD40200" w:rsidP="00774D53">
      <w:pPr>
        <w:pStyle w:val="ListParagraph"/>
        <w:numPr>
          <w:ilvl w:val="0"/>
          <w:numId w:val="2"/>
        </w:numPr>
        <w:rPr>
          <w:sz w:val="22"/>
          <w:szCs w:val="22"/>
        </w:rPr>
      </w:pPr>
      <w:r w:rsidRPr="00774D53">
        <w:rPr>
          <w:sz w:val="22"/>
          <w:szCs w:val="22"/>
        </w:rPr>
        <w:t xml:space="preserve">Federal, state, county, or city governmental entities </w:t>
      </w:r>
    </w:p>
    <w:p w14:paraId="3BD436FF" w14:textId="63B7490E" w:rsidR="005F2FAF" w:rsidRDefault="4B4C2137" w:rsidP="00774D53">
      <w:pPr>
        <w:shd w:val="clear" w:color="auto" w:fill="FFFFFF" w:themeFill="background1"/>
        <w:spacing w:after="150"/>
        <w:rPr>
          <w:color w:val="333333"/>
          <w:sz w:val="22"/>
          <w:szCs w:val="22"/>
          <w:u w:val="single"/>
        </w:rPr>
      </w:pPr>
      <w:r w:rsidRPr="00774D53">
        <w:rPr>
          <w:color w:val="333333"/>
          <w:sz w:val="22"/>
          <w:szCs w:val="22"/>
          <w:u w:val="single"/>
        </w:rPr>
        <w:t>Employee Eligibility</w:t>
      </w:r>
    </w:p>
    <w:p w14:paraId="00D10D1D" w14:textId="1D0CF9B6" w:rsidR="005F2FAF" w:rsidRDefault="34971604" w:rsidP="00774D53">
      <w:pPr>
        <w:shd w:val="clear" w:color="auto" w:fill="FFFFFF" w:themeFill="background1"/>
        <w:spacing w:after="150"/>
        <w:rPr>
          <w:color w:val="333333"/>
          <w:sz w:val="22"/>
          <w:szCs w:val="22"/>
        </w:rPr>
      </w:pPr>
      <w:r w:rsidRPr="00774D53">
        <w:rPr>
          <w:color w:val="333333"/>
          <w:sz w:val="22"/>
          <w:szCs w:val="22"/>
        </w:rPr>
        <w:t xml:space="preserve">Incumbent workers are </w:t>
      </w:r>
      <w:r w:rsidR="05EBF526" w:rsidRPr="00774D53">
        <w:rPr>
          <w:color w:val="333333"/>
          <w:sz w:val="22"/>
          <w:szCs w:val="22"/>
        </w:rPr>
        <w:t>currently employed</w:t>
      </w:r>
      <w:r w:rsidRPr="00774D53">
        <w:rPr>
          <w:color w:val="333333"/>
          <w:sz w:val="22"/>
          <w:szCs w:val="22"/>
        </w:rPr>
        <w:t xml:space="preserve"> workers whose employers have determined that the worker requires training to increase the competitiveness of the employee or the employer. The worker must have an established employment history with the employer for six (6) or more months and employed in a situation that meets the Fair Labor Standards Act requirements for an employer-employee relationship. Such training will upgrade workers' skills, increase wages earned by employees and/or keep workers skills competitive.</w:t>
      </w:r>
    </w:p>
    <w:p w14:paraId="2DA2B603" w14:textId="65D368C5" w:rsidR="005F2FAF" w:rsidRDefault="34971604" w:rsidP="00774D53">
      <w:pPr>
        <w:shd w:val="clear" w:color="auto" w:fill="FFFFFF" w:themeFill="background1"/>
        <w:spacing w:after="150"/>
        <w:rPr>
          <w:color w:val="333333"/>
          <w:sz w:val="22"/>
          <w:szCs w:val="22"/>
        </w:rPr>
      </w:pPr>
      <w:r w:rsidRPr="00774D53">
        <w:rPr>
          <w:color w:val="333333"/>
          <w:sz w:val="22"/>
          <w:szCs w:val="22"/>
        </w:rPr>
        <w:t xml:space="preserve">There is one exception to the </w:t>
      </w:r>
      <w:proofErr w:type="gramStart"/>
      <w:r w:rsidRPr="00774D53">
        <w:rPr>
          <w:color w:val="333333"/>
          <w:sz w:val="22"/>
          <w:szCs w:val="22"/>
        </w:rPr>
        <w:t>six month</w:t>
      </w:r>
      <w:proofErr w:type="gramEnd"/>
      <w:r w:rsidRPr="00774D53">
        <w:rPr>
          <w:color w:val="333333"/>
          <w:sz w:val="22"/>
          <w:szCs w:val="22"/>
        </w:rPr>
        <w:t xml:space="preserve"> requirement: in the event that incumbent worker training is being provided to a cohort of employees, not every employee in the cohort must have an established employment history with the employer for six months or more as long as a majority of those employees being trained meet the employment history requirement.</w:t>
      </w:r>
    </w:p>
    <w:p w14:paraId="4E77F1B3" w14:textId="0A5F427C" w:rsidR="005F2FAF" w:rsidRDefault="22C0E4AF" w:rsidP="00774D53">
      <w:pPr>
        <w:rPr>
          <w:sz w:val="22"/>
          <w:szCs w:val="22"/>
          <w:u w:val="single"/>
        </w:rPr>
      </w:pPr>
      <w:r w:rsidRPr="00774D53">
        <w:rPr>
          <w:sz w:val="22"/>
          <w:szCs w:val="22"/>
          <w:u w:val="single"/>
        </w:rPr>
        <w:t>Ineligible Employees</w:t>
      </w:r>
    </w:p>
    <w:p w14:paraId="7E794F3A" w14:textId="0BA8B2DC" w:rsidR="005F2FAF" w:rsidRDefault="22C0E4AF" w:rsidP="00774D53">
      <w:pPr>
        <w:pStyle w:val="ListParagraph"/>
        <w:numPr>
          <w:ilvl w:val="0"/>
          <w:numId w:val="4"/>
        </w:numPr>
        <w:rPr>
          <w:sz w:val="22"/>
          <w:szCs w:val="22"/>
        </w:rPr>
      </w:pPr>
      <w:r w:rsidRPr="00774D53">
        <w:rPr>
          <w:sz w:val="22"/>
          <w:szCs w:val="22"/>
        </w:rPr>
        <w:t xml:space="preserve">Anyone who receives a 1099 Form: or </w:t>
      </w:r>
    </w:p>
    <w:p w14:paraId="121A4668" w14:textId="4B20DA09" w:rsidR="005F2FAF" w:rsidRDefault="22C0E4AF" w:rsidP="00774D53">
      <w:pPr>
        <w:pStyle w:val="ListParagraph"/>
        <w:numPr>
          <w:ilvl w:val="0"/>
          <w:numId w:val="4"/>
        </w:numPr>
        <w:rPr>
          <w:sz w:val="22"/>
          <w:szCs w:val="22"/>
        </w:rPr>
      </w:pPr>
      <w:r w:rsidRPr="00774D53">
        <w:rPr>
          <w:sz w:val="22"/>
          <w:szCs w:val="22"/>
        </w:rPr>
        <w:t>Those who are placed through a temporary agency.</w:t>
      </w:r>
    </w:p>
    <w:p w14:paraId="102C2FB7" w14:textId="4B4625B4" w:rsidR="005F2FAF" w:rsidRDefault="58044F8B" w:rsidP="00774D53">
      <w:pPr>
        <w:shd w:val="clear" w:color="auto" w:fill="FFFFFF" w:themeFill="background1"/>
        <w:spacing w:after="150"/>
        <w:rPr>
          <w:b/>
          <w:bCs/>
          <w:color w:val="333333"/>
          <w:sz w:val="22"/>
          <w:szCs w:val="22"/>
        </w:rPr>
      </w:pPr>
      <w:r w:rsidRPr="00774D53">
        <w:rPr>
          <w:b/>
          <w:bCs/>
          <w:color w:val="333333"/>
          <w:sz w:val="22"/>
          <w:szCs w:val="22"/>
        </w:rPr>
        <w:t>Funding</w:t>
      </w:r>
    </w:p>
    <w:p w14:paraId="394544C6" w14:textId="6E10E3C0" w:rsidR="005F2FAF" w:rsidRDefault="58044F8B" w:rsidP="00774D53">
      <w:pPr>
        <w:rPr>
          <w:sz w:val="22"/>
          <w:szCs w:val="22"/>
        </w:rPr>
      </w:pPr>
      <w:r w:rsidRPr="00774D53">
        <w:rPr>
          <w:sz w:val="22"/>
          <w:szCs w:val="22"/>
        </w:rPr>
        <w:t>Grant funds are limited and therefore will be awarded through an application process. The maximum award per grant, per year, is $10,000 and the initial training agreement duration may not exceed 12 months. The availability of grants may be adjusted based on funding availability, each program year.</w:t>
      </w:r>
    </w:p>
    <w:p w14:paraId="4FAC26AC" w14:textId="318C9059" w:rsidR="005F2FAF" w:rsidRDefault="080B7516" w:rsidP="00774D53">
      <w:pPr>
        <w:rPr>
          <w:b/>
          <w:bCs/>
          <w:sz w:val="22"/>
          <w:szCs w:val="22"/>
        </w:rPr>
      </w:pPr>
      <w:r w:rsidRPr="00774D53">
        <w:rPr>
          <w:b/>
          <w:bCs/>
          <w:sz w:val="22"/>
          <w:szCs w:val="22"/>
        </w:rPr>
        <w:t xml:space="preserve">ELIGIBILITY DETERMINATION </w:t>
      </w:r>
    </w:p>
    <w:p w14:paraId="2C0BF3EE" w14:textId="7C176821" w:rsidR="005F2FAF" w:rsidRDefault="1E808532" w:rsidP="00774D53">
      <w:pPr>
        <w:rPr>
          <w:sz w:val="22"/>
          <w:szCs w:val="22"/>
        </w:rPr>
      </w:pPr>
      <w:r w:rsidRPr="5BEB9D15">
        <w:rPr>
          <w:sz w:val="22"/>
          <w:szCs w:val="22"/>
        </w:rPr>
        <w:t xml:space="preserve">Determinations of IWT applications, including approval and rejections, will be made by the CIWD Board through a formal vote. The </w:t>
      </w:r>
      <w:r w:rsidR="1CD993A6" w:rsidRPr="5BEB9D15">
        <w:rPr>
          <w:sz w:val="22"/>
          <w:szCs w:val="22"/>
        </w:rPr>
        <w:t xml:space="preserve">Adult and </w:t>
      </w:r>
      <w:r w:rsidRPr="5BEB9D15">
        <w:rPr>
          <w:sz w:val="22"/>
          <w:szCs w:val="22"/>
        </w:rPr>
        <w:t xml:space="preserve">Dislocated Worker Title I service provider will work collaboratively with the board to promote the program, collect and review the applications for completeness, and provide the board with the proper documentation to </w:t>
      </w:r>
      <w:proofErr w:type="gramStart"/>
      <w:r w:rsidRPr="5BEB9D15">
        <w:rPr>
          <w:sz w:val="22"/>
          <w:szCs w:val="22"/>
        </w:rPr>
        <w:t>make a determination</w:t>
      </w:r>
      <w:proofErr w:type="gramEnd"/>
      <w:r w:rsidRPr="5BEB9D15">
        <w:rPr>
          <w:sz w:val="22"/>
          <w:szCs w:val="22"/>
        </w:rPr>
        <w:t xml:space="preserve"> on each application. </w:t>
      </w:r>
    </w:p>
    <w:p w14:paraId="23576C2B" w14:textId="7F0DCF23" w:rsidR="005F2FAF" w:rsidRDefault="1E808532" w:rsidP="00774D53">
      <w:pPr>
        <w:rPr>
          <w:sz w:val="22"/>
          <w:szCs w:val="22"/>
        </w:rPr>
      </w:pPr>
      <w:r w:rsidRPr="5BEB9D15">
        <w:rPr>
          <w:sz w:val="22"/>
          <w:szCs w:val="22"/>
        </w:rPr>
        <w:t xml:space="preserve">The Planning and Operations Committee </w:t>
      </w:r>
      <w:r w:rsidR="6F45C25D" w:rsidRPr="5BEB9D15">
        <w:rPr>
          <w:sz w:val="22"/>
          <w:szCs w:val="22"/>
        </w:rPr>
        <w:t xml:space="preserve">of the CIWD Board </w:t>
      </w:r>
      <w:r w:rsidRPr="5BEB9D15">
        <w:rPr>
          <w:sz w:val="22"/>
          <w:szCs w:val="22"/>
        </w:rPr>
        <w:t xml:space="preserve">will also review applications and may make recommendations to the CIWD Board related to specific applications. The Planning and Operations Committee will not make the final determination of any application, this will be the responsibility of </w:t>
      </w:r>
      <w:r w:rsidR="04FFD260" w:rsidRPr="5BEB9D15">
        <w:rPr>
          <w:sz w:val="22"/>
          <w:szCs w:val="22"/>
        </w:rPr>
        <w:t>the full</w:t>
      </w:r>
      <w:r w:rsidRPr="5BEB9D15">
        <w:rPr>
          <w:sz w:val="22"/>
          <w:szCs w:val="22"/>
        </w:rPr>
        <w:t xml:space="preserve"> CIWD Board.</w:t>
      </w:r>
    </w:p>
    <w:p w14:paraId="495E6165" w14:textId="6740C087" w:rsidR="005F2FAF" w:rsidRDefault="1E808532" w:rsidP="00774D53">
      <w:pPr>
        <w:rPr>
          <w:sz w:val="22"/>
          <w:szCs w:val="22"/>
        </w:rPr>
      </w:pPr>
      <w:r w:rsidRPr="67F3D629">
        <w:rPr>
          <w:sz w:val="22"/>
          <w:szCs w:val="22"/>
        </w:rPr>
        <w:lastRenderedPageBreak/>
        <w:t xml:space="preserve"> Applications received will be reviewed for a determination </w:t>
      </w:r>
      <w:r w:rsidR="305283C5" w:rsidRPr="67F3D629">
        <w:rPr>
          <w:sz w:val="22"/>
          <w:szCs w:val="22"/>
        </w:rPr>
        <w:t xml:space="preserve">by the </w:t>
      </w:r>
      <w:r w:rsidRPr="67F3D629">
        <w:rPr>
          <w:sz w:val="22"/>
          <w:szCs w:val="22"/>
        </w:rPr>
        <w:t xml:space="preserve">CIWD Board given compliance requirements with making agendas and meetings available to the public and ensuring that all necessary IWT application information has been received and reviewed according to outlined procedures in this policy.  </w:t>
      </w:r>
    </w:p>
    <w:p w14:paraId="52BB7125" w14:textId="56530C0B" w:rsidR="7E068571" w:rsidRDefault="7E068571" w:rsidP="5BEB9D15">
      <w:pPr>
        <w:rPr>
          <w:b/>
          <w:bCs/>
          <w:sz w:val="22"/>
          <w:szCs w:val="22"/>
        </w:rPr>
      </w:pPr>
      <w:r w:rsidRPr="5BEB9D15">
        <w:rPr>
          <w:b/>
          <w:bCs/>
          <w:sz w:val="22"/>
          <w:szCs w:val="22"/>
        </w:rPr>
        <w:t>Considerations:</w:t>
      </w:r>
    </w:p>
    <w:p w14:paraId="2E2B0183" w14:textId="47B047E0" w:rsidR="005F2FAF" w:rsidRDefault="6391B2F9" w:rsidP="5BEB9D15">
      <w:pPr>
        <w:shd w:val="clear" w:color="auto" w:fill="FFFFFF" w:themeFill="background1"/>
        <w:spacing w:after="150"/>
        <w:rPr>
          <w:color w:val="333333"/>
          <w:sz w:val="22"/>
          <w:szCs w:val="22"/>
        </w:rPr>
      </w:pPr>
      <w:r w:rsidRPr="5BEB9D15">
        <w:rPr>
          <w:color w:val="333333"/>
          <w:sz w:val="22"/>
          <w:szCs w:val="22"/>
        </w:rPr>
        <w:t xml:space="preserve">Additional factors for determining </w:t>
      </w:r>
      <w:r w:rsidR="78128E13" w:rsidRPr="5BEB9D15">
        <w:rPr>
          <w:color w:val="333333"/>
          <w:sz w:val="22"/>
          <w:szCs w:val="22"/>
        </w:rPr>
        <w:t>priority</w:t>
      </w:r>
      <w:r w:rsidRPr="5BEB9D15">
        <w:rPr>
          <w:color w:val="333333"/>
          <w:sz w:val="22"/>
          <w:szCs w:val="22"/>
        </w:rPr>
        <w:t xml:space="preserve"> for incumbent worker training</w:t>
      </w:r>
      <w:r w:rsidR="125553FF" w:rsidRPr="5BEB9D15">
        <w:rPr>
          <w:color w:val="333333"/>
          <w:sz w:val="22"/>
          <w:szCs w:val="22"/>
        </w:rPr>
        <w:t xml:space="preserve"> will be established annually </w:t>
      </w:r>
      <w:r w:rsidR="0D55AB4D" w:rsidRPr="5BEB9D15">
        <w:rPr>
          <w:color w:val="333333"/>
          <w:sz w:val="22"/>
          <w:szCs w:val="22"/>
        </w:rPr>
        <w:t xml:space="preserve">by the Local Workforce Board in alignment with the Local </w:t>
      </w:r>
      <w:proofErr w:type="gramStart"/>
      <w:r w:rsidR="0D55AB4D" w:rsidRPr="5BEB9D15">
        <w:rPr>
          <w:color w:val="333333"/>
          <w:sz w:val="22"/>
          <w:szCs w:val="22"/>
        </w:rPr>
        <w:t xml:space="preserve">Plan, </w:t>
      </w:r>
      <w:r w:rsidR="125553FF" w:rsidRPr="5BEB9D15">
        <w:rPr>
          <w:color w:val="333333"/>
          <w:sz w:val="22"/>
          <w:szCs w:val="22"/>
        </w:rPr>
        <w:t>and</w:t>
      </w:r>
      <w:proofErr w:type="gramEnd"/>
      <w:r w:rsidR="125553FF" w:rsidRPr="5BEB9D15">
        <w:rPr>
          <w:color w:val="333333"/>
          <w:sz w:val="22"/>
          <w:szCs w:val="22"/>
        </w:rPr>
        <w:t xml:space="preserve"> </w:t>
      </w:r>
      <w:r w:rsidR="2930BCCF" w:rsidRPr="5BEB9D15">
        <w:rPr>
          <w:color w:val="333333"/>
          <w:sz w:val="22"/>
          <w:szCs w:val="22"/>
        </w:rPr>
        <w:t>outlin</w:t>
      </w:r>
      <w:r w:rsidR="125553FF" w:rsidRPr="5BEB9D15">
        <w:rPr>
          <w:color w:val="333333"/>
          <w:sz w:val="22"/>
          <w:szCs w:val="22"/>
        </w:rPr>
        <w:t>ed in the IWT application. They</w:t>
      </w:r>
      <w:r w:rsidRPr="5BEB9D15">
        <w:rPr>
          <w:color w:val="333333"/>
          <w:sz w:val="22"/>
          <w:szCs w:val="22"/>
        </w:rPr>
        <w:t xml:space="preserve"> may include:</w:t>
      </w:r>
    </w:p>
    <w:p w14:paraId="18214C2C" w14:textId="7B64E17B" w:rsidR="005F2FAF" w:rsidRDefault="6391B2F9" w:rsidP="5BEB9D15">
      <w:pPr>
        <w:pStyle w:val="ListParagraph"/>
        <w:numPr>
          <w:ilvl w:val="0"/>
          <w:numId w:val="6"/>
        </w:numPr>
        <w:shd w:val="clear" w:color="auto" w:fill="FFFFFF" w:themeFill="background1"/>
        <w:spacing w:after="0"/>
        <w:rPr>
          <w:color w:val="333333"/>
          <w:sz w:val="22"/>
          <w:szCs w:val="22"/>
        </w:rPr>
      </w:pPr>
      <w:r w:rsidRPr="5BEB9D15">
        <w:rPr>
          <w:color w:val="333333"/>
          <w:sz w:val="22"/>
          <w:szCs w:val="22"/>
        </w:rPr>
        <w:t xml:space="preserve">The number of employees in training  </w:t>
      </w:r>
    </w:p>
    <w:p w14:paraId="1C173979" w14:textId="058D67F8" w:rsidR="005F2FAF" w:rsidRDefault="6391B2F9" w:rsidP="4CC7D3B2">
      <w:pPr>
        <w:pStyle w:val="ListParagraph"/>
        <w:numPr>
          <w:ilvl w:val="0"/>
          <w:numId w:val="6"/>
        </w:numPr>
        <w:shd w:val="clear" w:color="auto" w:fill="FFFFFF" w:themeFill="background1"/>
        <w:spacing w:after="0"/>
        <w:rPr>
          <w:color w:val="333333"/>
          <w:sz w:val="22"/>
          <w:szCs w:val="22"/>
        </w:rPr>
      </w:pPr>
      <w:r w:rsidRPr="4CC7D3B2">
        <w:rPr>
          <w:color w:val="333333"/>
          <w:sz w:val="22"/>
          <w:szCs w:val="22"/>
        </w:rPr>
        <w:t>Wages and benefits (including post-training increases)</w:t>
      </w:r>
    </w:p>
    <w:p w14:paraId="65373478" w14:textId="00C769EA" w:rsidR="005F2FAF" w:rsidRDefault="6391B2F9" w:rsidP="4CC7D3B2">
      <w:pPr>
        <w:pStyle w:val="ListParagraph"/>
        <w:numPr>
          <w:ilvl w:val="0"/>
          <w:numId w:val="6"/>
        </w:numPr>
        <w:shd w:val="clear" w:color="auto" w:fill="FFFFFF" w:themeFill="background1"/>
        <w:spacing w:after="0"/>
        <w:rPr>
          <w:color w:val="333333"/>
          <w:sz w:val="22"/>
          <w:szCs w:val="22"/>
        </w:rPr>
      </w:pPr>
      <w:r w:rsidRPr="4CC7D3B2">
        <w:rPr>
          <w:color w:val="333333"/>
          <w:sz w:val="22"/>
          <w:szCs w:val="22"/>
        </w:rPr>
        <w:t>The existence of other training opportunities provided by the employer</w:t>
      </w:r>
    </w:p>
    <w:p w14:paraId="387255BB" w14:textId="0FA10224" w:rsidR="005F2FAF" w:rsidRDefault="6391B2F9" w:rsidP="5BEB9D15">
      <w:pPr>
        <w:pStyle w:val="ListParagraph"/>
        <w:numPr>
          <w:ilvl w:val="0"/>
          <w:numId w:val="6"/>
        </w:numPr>
        <w:shd w:val="clear" w:color="auto" w:fill="FFFFFF" w:themeFill="background1"/>
        <w:spacing w:after="0"/>
        <w:rPr>
          <w:color w:val="333333"/>
          <w:sz w:val="22"/>
          <w:szCs w:val="22"/>
        </w:rPr>
      </w:pPr>
      <w:r w:rsidRPr="5BEB9D15">
        <w:rPr>
          <w:color w:val="333333"/>
          <w:sz w:val="22"/>
          <w:szCs w:val="22"/>
        </w:rPr>
        <w:t xml:space="preserve">Credentials and skills gained </w:t>
      </w:r>
      <w:proofErr w:type="gramStart"/>
      <w:r w:rsidRPr="5BEB9D15">
        <w:rPr>
          <w:color w:val="333333"/>
          <w:sz w:val="22"/>
          <w:szCs w:val="22"/>
        </w:rPr>
        <w:t>as a result of</w:t>
      </w:r>
      <w:proofErr w:type="gramEnd"/>
      <w:r w:rsidRPr="5BEB9D15">
        <w:rPr>
          <w:color w:val="333333"/>
          <w:sz w:val="22"/>
          <w:szCs w:val="22"/>
        </w:rPr>
        <w:t xml:space="preserve"> the training  </w:t>
      </w:r>
    </w:p>
    <w:p w14:paraId="67B4F914" w14:textId="40797A1D" w:rsidR="005F2FAF" w:rsidRDefault="6391B2F9" w:rsidP="4CC7D3B2">
      <w:pPr>
        <w:pStyle w:val="ListParagraph"/>
        <w:numPr>
          <w:ilvl w:val="0"/>
          <w:numId w:val="6"/>
        </w:numPr>
        <w:shd w:val="clear" w:color="auto" w:fill="FFFFFF" w:themeFill="background1"/>
        <w:spacing w:after="0"/>
        <w:rPr>
          <w:color w:val="333333"/>
          <w:sz w:val="22"/>
          <w:szCs w:val="22"/>
        </w:rPr>
      </w:pPr>
      <w:r w:rsidRPr="4CC7D3B2">
        <w:rPr>
          <w:color w:val="333333"/>
          <w:sz w:val="22"/>
          <w:szCs w:val="22"/>
        </w:rPr>
        <w:t xml:space="preserve">Layoffs averted </w:t>
      </w:r>
      <w:proofErr w:type="gramStart"/>
      <w:r w:rsidRPr="4CC7D3B2">
        <w:rPr>
          <w:color w:val="333333"/>
          <w:sz w:val="22"/>
          <w:szCs w:val="22"/>
        </w:rPr>
        <w:t>as a result of</w:t>
      </w:r>
      <w:proofErr w:type="gramEnd"/>
      <w:r w:rsidRPr="4CC7D3B2">
        <w:rPr>
          <w:color w:val="333333"/>
          <w:sz w:val="22"/>
          <w:szCs w:val="22"/>
        </w:rPr>
        <w:t xml:space="preserve"> the training</w:t>
      </w:r>
    </w:p>
    <w:p w14:paraId="29812AB0" w14:textId="1A4A9640" w:rsidR="005F2FAF" w:rsidRDefault="6391B2F9" w:rsidP="5BEB9D15">
      <w:pPr>
        <w:pStyle w:val="ListParagraph"/>
        <w:numPr>
          <w:ilvl w:val="0"/>
          <w:numId w:val="6"/>
        </w:numPr>
        <w:shd w:val="clear" w:color="auto" w:fill="FFFFFF" w:themeFill="background1"/>
        <w:spacing w:after="0"/>
        <w:rPr>
          <w:color w:val="333333"/>
          <w:sz w:val="22"/>
          <w:szCs w:val="22"/>
        </w:rPr>
      </w:pPr>
      <w:r w:rsidRPr="5BEB9D15">
        <w:rPr>
          <w:color w:val="333333"/>
          <w:sz w:val="22"/>
          <w:szCs w:val="22"/>
        </w:rPr>
        <w:t xml:space="preserve">Utilization as part of a larger sector and/or career pathway strategy; or  </w:t>
      </w:r>
    </w:p>
    <w:p w14:paraId="22CECD27" w14:textId="314D98DB" w:rsidR="005F2FAF" w:rsidRDefault="6391B2F9" w:rsidP="4CC7D3B2">
      <w:pPr>
        <w:pStyle w:val="ListParagraph"/>
        <w:numPr>
          <w:ilvl w:val="0"/>
          <w:numId w:val="6"/>
        </w:numPr>
        <w:shd w:val="clear" w:color="auto" w:fill="FFFFFF" w:themeFill="background1"/>
        <w:spacing w:after="0"/>
        <w:rPr>
          <w:color w:val="333333"/>
          <w:sz w:val="22"/>
          <w:szCs w:val="22"/>
        </w:rPr>
      </w:pPr>
      <w:r w:rsidRPr="4CC7D3B2">
        <w:rPr>
          <w:color w:val="333333"/>
          <w:sz w:val="22"/>
          <w:szCs w:val="22"/>
        </w:rPr>
        <w:t>Employer size</w:t>
      </w:r>
    </w:p>
    <w:p w14:paraId="4899A94B" w14:textId="2CAC04FC" w:rsidR="005F2FAF" w:rsidRDefault="005F2FAF" w:rsidP="5BEB9D15">
      <w:pPr>
        <w:pStyle w:val="ListParagraph"/>
        <w:shd w:val="clear" w:color="auto" w:fill="FFFFFF" w:themeFill="background1"/>
        <w:spacing w:after="0"/>
        <w:rPr>
          <w:color w:val="333333"/>
          <w:sz w:val="22"/>
          <w:szCs w:val="22"/>
          <w:highlight w:val="yellow"/>
        </w:rPr>
      </w:pPr>
    </w:p>
    <w:p w14:paraId="7D122EB7" w14:textId="0246C86B" w:rsidR="005F2FAF" w:rsidRDefault="12049F28" w:rsidP="4CC7D3B2">
      <w:pPr>
        <w:rPr>
          <w:b/>
          <w:bCs/>
          <w:sz w:val="22"/>
          <w:szCs w:val="22"/>
        </w:rPr>
      </w:pPr>
      <w:r w:rsidRPr="5BEB9D15">
        <w:rPr>
          <w:sz w:val="22"/>
          <w:szCs w:val="22"/>
        </w:rPr>
        <w:t xml:space="preserve">Companies wishing to participate in the IWT program will be required to complete an application and submit a formal proposal. The application and instructions for submitting the proposal can be found on the </w:t>
      </w:r>
      <w:r w:rsidR="15A71B39" w:rsidRPr="5BEB9D15">
        <w:rPr>
          <w:sz w:val="22"/>
          <w:szCs w:val="22"/>
        </w:rPr>
        <w:t xml:space="preserve">CIWDB website </w:t>
      </w:r>
      <w:hyperlink r:id="rId9">
        <w:r w:rsidR="15A71B39" w:rsidRPr="5BEB9D15">
          <w:rPr>
            <w:rStyle w:val="Hyperlink"/>
            <w:sz w:val="22"/>
            <w:szCs w:val="22"/>
          </w:rPr>
          <w:t>www.ciwdb.org</w:t>
        </w:r>
      </w:hyperlink>
      <w:r w:rsidR="15A71B39" w:rsidRPr="5BEB9D15">
        <w:rPr>
          <w:sz w:val="22"/>
          <w:szCs w:val="22"/>
        </w:rPr>
        <w:t xml:space="preserve"> </w:t>
      </w:r>
    </w:p>
    <w:p w14:paraId="03A8F7BB" w14:textId="7731E781" w:rsidR="005F2FAF" w:rsidRDefault="4C7E894B" w:rsidP="00774D53">
      <w:pPr>
        <w:rPr>
          <w:b/>
          <w:bCs/>
          <w:sz w:val="22"/>
          <w:szCs w:val="22"/>
        </w:rPr>
      </w:pPr>
      <w:r w:rsidRPr="00774D53">
        <w:rPr>
          <w:b/>
          <w:bCs/>
          <w:sz w:val="22"/>
          <w:szCs w:val="22"/>
        </w:rPr>
        <w:t xml:space="preserve">ALLOWABLE USES OF FUNDS </w:t>
      </w:r>
    </w:p>
    <w:p w14:paraId="62FE64A9" w14:textId="60459F8E" w:rsidR="005F2FAF" w:rsidRDefault="4C7E894B" w:rsidP="00774D53">
      <w:pPr>
        <w:rPr>
          <w:sz w:val="22"/>
          <w:szCs w:val="22"/>
        </w:rPr>
      </w:pPr>
      <w:r w:rsidRPr="00774D53">
        <w:rPr>
          <w:sz w:val="22"/>
          <w:szCs w:val="22"/>
        </w:rPr>
        <w:t xml:space="preserve">Funding may be utilized for the following: </w:t>
      </w:r>
    </w:p>
    <w:p w14:paraId="0855AA13" w14:textId="10776EC7" w:rsidR="005F2FAF" w:rsidRDefault="4C7E894B" w:rsidP="00774D53">
      <w:pPr>
        <w:pStyle w:val="ListParagraph"/>
        <w:numPr>
          <w:ilvl w:val="0"/>
          <w:numId w:val="10"/>
        </w:numPr>
        <w:rPr>
          <w:sz w:val="22"/>
          <w:szCs w:val="22"/>
        </w:rPr>
      </w:pPr>
      <w:r w:rsidRPr="00774D53">
        <w:rPr>
          <w:sz w:val="22"/>
          <w:szCs w:val="22"/>
        </w:rPr>
        <w:t xml:space="preserve">Employee skills, assessment, and testing </w:t>
      </w:r>
    </w:p>
    <w:p w14:paraId="2810D10E" w14:textId="5600EAD9" w:rsidR="005F2FAF" w:rsidRDefault="4C7E894B" w:rsidP="00774D53">
      <w:pPr>
        <w:pStyle w:val="ListParagraph"/>
        <w:numPr>
          <w:ilvl w:val="0"/>
          <w:numId w:val="10"/>
        </w:numPr>
        <w:rPr>
          <w:sz w:val="22"/>
          <w:szCs w:val="22"/>
        </w:rPr>
      </w:pPr>
      <w:r w:rsidRPr="00774D53">
        <w:rPr>
          <w:sz w:val="22"/>
          <w:szCs w:val="22"/>
        </w:rPr>
        <w:t xml:space="preserve">Training development </w:t>
      </w:r>
    </w:p>
    <w:p w14:paraId="36AF65E0" w14:textId="40FF0D09" w:rsidR="005F2FAF" w:rsidRDefault="4C7E894B" w:rsidP="00774D53">
      <w:pPr>
        <w:pStyle w:val="ListParagraph"/>
        <w:numPr>
          <w:ilvl w:val="0"/>
          <w:numId w:val="10"/>
        </w:numPr>
        <w:rPr>
          <w:sz w:val="22"/>
          <w:szCs w:val="22"/>
        </w:rPr>
      </w:pPr>
      <w:r w:rsidRPr="00774D53">
        <w:rPr>
          <w:sz w:val="22"/>
          <w:szCs w:val="22"/>
        </w:rPr>
        <w:t xml:space="preserve">Classroom training </w:t>
      </w:r>
    </w:p>
    <w:p w14:paraId="37AE4951" w14:textId="7DD7B62C" w:rsidR="005F2FAF" w:rsidRDefault="4C7E894B" w:rsidP="00774D53">
      <w:pPr>
        <w:pStyle w:val="ListParagraph"/>
        <w:numPr>
          <w:ilvl w:val="0"/>
          <w:numId w:val="10"/>
        </w:numPr>
        <w:rPr>
          <w:sz w:val="22"/>
          <w:szCs w:val="22"/>
        </w:rPr>
      </w:pPr>
      <w:r w:rsidRPr="00774D53">
        <w:rPr>
          <w:sz w:val="22"/>
          <w:szCs w:val="22"/>
        </w:rPr>
        <w:t>Customized training consistent with WIOA regulations</w:t>
      </w:r>
    </w:p>
    <w:p w14:paraId="2E681537" w14:textId="45DFE3AF" w:rsidR="005F2FAF" w:rsidRDefault="4C7E894B" w:rsidP="00774D53">
      <w:pPr>
        <w:pStyle w:val="ListParagraph"/>
        <w:numPr>
          <w:ilvl w:val="0"/>
          <w:numId w:val="10"/>
        </w:numPr>
        <w:rPr>
          <w:sz w:val="22"/>
          <w:szCs w:val="22"/>
        </w:rPr>
      </w:pPr>
      <w:r w:rsidRPr="00774D53">
        <w:rPr>
          <w:sz w:val="22"/>
          <w:szCs w:val="22"/>
        </w:rPr>
        <w:t xml:space="preserve">Instructor wages </w:t>
      </w:r>
    </w:p>
    <w:p w14:paraId="48E648E1" w14:textId="1F2FC099" w:rsidR="005F2FAF" w:rsidRDefault="4C7E894B" w:rsidP="00774D53">
      <w:pPr>
        <w:pStyle w:val="ListParagraph"/>
        <w:numPr>
          <w:ilvl w:val="0"/>
          <w:numId w:val="10"/>
        </w:numPr>
        <w:rPr>
          <w:sz w:val="22"/>
          <w:szCs w:val="22"/>
        </w:rPr>
      </w:pPr>
      <w:r w:rsidRPr="00774D53">
        <w:rPr>
          <w:sz w:val="22"/>
          <w:szCs w:val="22"/>
        </w:rPr>
        <w:t xml:space="preserve">Training materials and supplies </w:t>
      </w:r>
    </w:p>
    <w:p w14:paraId="1E4CA8D8" w14:textId="5AE941E6" w:rsidR="005F2FAF" w:rsidRDefault="4C7E894B" w:rsidP="00774D53">
      <w:pPr>
        <w:pStyle w:val="ListParagraph"/>
        <w:numPr>
          <w:ilvl w:val="0"/>
          <w:numId w:val="10"/>
        </w:numPr>
        <w:rPr>
          <w:sz w:val="22"/>
          <w:szCs w:val="22"/>
        </w:rPr>
      </w:pPr>
      <w:r w:rsidRPr="00774D53">
        <w:rPr>
          <w:sz w:val="22"/>
          <w:szCs w:val="22"/>
        </w:rPr>
        <w:t xml:space="preserve">Fees required to complete training </w:t>
      </w:r>
    </w:p>
    <w:p w14:paraId="6452DE3B" w14:textId="676E3F10" w:rsidR="005F2FAF" w:rsidRDefault="4C7E894B" w:rsidP="00774D53">
      <w:pPr>
        <w:rPr>
          <w:sz w:val="22"/>
          <w:szCs w:val="22"/>
        </w:rPr>
      </w:pPr>
      <w:r w:rsidRPr="5BEB9D15">
        <w:rPr>
          <w:sz w:val="22"/>
          <w:szCs w:val="22"/>
        </w:rPr>
        <w:t>When developing the training needs with an employer the</w:t>
      </w:r>
      <w:r w:rsidR="01A0D253" w:rsidRPr="5BEB9D15">
        <w:rPr>
          <w:sz w:val="22"/>
          <w:szCs w:val="22"/>
        </w:rPr>
        <w:t xml:space="preserve"> </w:t>
      </w:r>
      <w:r w:rsidR="56CAAAA0" w:rsidRPr="5BEB9D15">
        <w:rPr>
          <w:sz w:val="22"/>
          <w:szCs w:val="22"/>
        </w:rPr>
        <w:t xml:space="preserve">Adult and </w:t>
      </w:r>
      <w:r w:rsidR="01A0D253" w:rsidRPr="5BEB9D15">
        <w:rPr>
          <w:sz w:val="22"/>
          <w:szCs w:val="22"/>
        </w:rPr>
        <w:t>Dislocated Worker</w:t>
      </w:r>
      <w:r w:rsidRPr="5BEB9D15">
        <w:rPr>
          <w:sz w:val="22"/>
          <w:szCs w:val="22"/>
        </w:rPr>
        <w:t xml:space="preserve"> service provider will ensure that the employer(s) demonstrate a commitment to retaining employees or otherwise provide a tangible benefit to employees that receive IWT. All IWT funds used must include a contract/written agreement</w:t>
      </w:r>
      <w:r w:rsidR="72987C73" w:rsidRPr="5BEB9D15">
        <w:rPr>
          <w:sz w:val="22"/>
          <w:szCs w:val="22"/>
        </w:rPr>
        <w:t>.</w:t>
      </w:r>
    </w:p>
    <w:p w14:paraId="7076E61F" w14:textId="5A5908E8" w:rsidR="005F2FAF" w:rsidRDefault="4C7E894B" w:rsidP="00774D53">
      <w:pPr>
        <w:rPr>
          <w:sz w:val="22"/>
          <w:szCs w:val="22"/>
        </w:rPr>
      </w:pPr>
      <w:r w:rsidRPr="5BEB9D15">
        <w:rPr>
          <w:sz w:val="22"/>
          <w:szCs w:val="22"/>
        </w:rPr>
        <w:t xml:space="preserve">All training activities provided as part of an incumbent worker program must be competitively procured by normal business methods and in accordance with federal, state, and local procurement policies. </w:t>
      </w:r>
    </w:p>
    <w:p w14:paraId="72CA0C69" w14:textId="1FD17B63" w:rsidR="005F2FAF" w:rsidRDefault="4C7E894B" w:rsidP="00774D53">
      <w:pPr>
        <w:rPr>
          <w:b/>
          <w:bCs/>
          <w:sz w:val="22"/>
          <w:szCs w:val="22"/>
        </w:rPr>
      </w:pPr>
      <w:r w:rsidRPr="00774D53">
        <w:rPr>
          <w:b/>
          <w:bCs/>
          <w:sz w:val="22"/>
          <w:szCs w:val="22"/>
        </w:rPr>
        <w:t xml:space="preserve">Disclaimer </w:t>
      </w:r>
    </w:p>
    <w:p w14:paraId="2C078E63" w14:textId="034F842F" w:rsidR="005F2FAF" w:rsidRDefault="4C7E894B" w:rsidP="00774D53">
      <w:pPr>
        <w:rPr>
          <w:sz w:val="22"/>
          <w:szCs w:val="22"/>
        </w:rPr>
      </w:pPr>
      <w:r w:rsidRPr="00774D53">
        <w:rPr>
          <w:sz w:val="22"/>
          <w:szCs w:val="22"/>
        </w:rPr>
        <w:lastRenderedPageBreak/>
        <w:t xml:space="preserve">This policy is based on </w:t>
      </w:r>
      <w:r w:rsidR="7FC3800F" w:rsidRPr="00774D53">
        <w:rPr>
          <w:sz w:val="22"/>
          <w:szCs w:val="22"/>
        </w:rPr>
        <w:t xml:space="preserve">IWD and Central Iowa </w:t>
      </w:r>
      <w:r w:rsidRPr="00774D53">
        <w:rPr>
          <w:sz w:val="22"/>
          <w:szCs w:val="22"/>
        </w:rPr>
        <w:t xml:space="preserve">Workforce Development Board’s reading of the applicable statutes, regulations, rules, and guidance released by the U.S. Government and the State of </w:t>
      </w:r>
      <w:r w:rsidR="316C7C0A" w:rsidRPr="00774D53">
        <w:rPr>
          <w:sz w:val="22"/>
          <w:szCs w:val="22"/>
        </w:rPr>
        <w:t>Iowa</w:t>
      </w:r>
      <w:r w:rsidRPr="00774D53">
        <w:rPr>
          <w:sz w:val="22"/>
          <w:szCs w:val="22"/>
        </w:rPr>
        <w:t>. This policy is subject to change as revised or additional statutes, regulations, rules, and guidance are issued.</w:t>
      </w:r>
    </w:p>
    <w:p w14:paraId="1D8505D8" w14:textId="2B46DED2" w:rsidR="00774D53" w:rsidRDefault="00774D53" w:rsidP="00774D53">
      <w:pPr>
        <w:rPr>
          <w:sz w:val="22"/>
          <w:szCs w:val="22"/>
        </w:rPr>
      </w:pPr>
    </w:p>
    <w:p w14:paraId="5CA76F5B" w14:textId="130265CE" w:rsidR="7D039CC0" w:rsidRDefault="7D039CC0" w:rsidP="00774D53">
      <w:pPr>
        <w:rPr>
          <w:i/>
          <w:iCs/>
          <w:sz w:val="22"/>
          <w:szCs w:val="22"/>
        </w:rPr>
      </w:pPr>
      <w:r w:rsidRPr="00774D53">
        <w:rPr>
          <w:i/>
          <w:iCs/>
          <w:sz w:val="22"/>
          <w:szCs w:val="22"/>
        </w:rPr>
        <w:t>Equal Opportunity Programs/Employer Auxiliary aids and services are available upon request for individuals with disabilities.</w:t>
      </w:r>
    </w:p>
    <w:sectPr w:rsidR="7D039CC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AD096" w14:textId="77777777" w:rsidR="0087102B" w:rsidRDefault="0087102B" w:rsidP="0087102B">
      <w:pPr>
        <w:spacing w:after="0" w:line="240" w:lineRule="auto"/>
      </w:pPr>
      <w:r>
        <w:separator/>
      </w:r>
    </w:p>
  </w:endnote>
  <w:endnote w:type="continuationSeparator" w:id="0">
    <w:p w14:paraId="60392A49" w14:textId="77777777" w:rsidR="0087102B" w:rsidRDefault="0087102B" w:rsidP="0087102B">
      <w:pPr>
        <w:spacing w:after="0" w:line="240" w:lineRule="auto"/>
      </w:pPr>
      <w:r>
        <w:continuationSeparator/>
      </w:r>
    </w:p>
  </w:endnote>
  <w:endnote w:type="continuationNotice" w:id="1">
    <w:p w14:paraId="75E3A31C" w14:textId="77777777" w:rsidR="006740AD" w:rsidRDefault="00674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422943"/>
      <w:docPartObj>
        <w:docPartGallery w:val="Page Numbers (Bottom of Page)"/>
        <w:docPartUnique/>
      </w:docPartObj>
    </w:sdtPr>
    <w:sdtEndPr>
      <w:rPr>
        <w:color w:val="7F7F7F" w:themeColor="background1" w:themeShade="7F"/>
        <w:spacing w:val="60"/>
      </w:rPr>
    </w:sdtEndPr>
    <w:sdtContent>
      <w:p w14:paraId="0A6C372C" w14:textId="5A6A981A" w:rsidR="00EF21B0" w:rsidRDefault="00EF21B0">
        <w:pPr>
          <w:pStyle w:val="Footer"/>
          <w:pBdr>
            <w:top w:val="single" w:sz="4" w:space="1" w:color="D9D9D9" w:themeColor="background1" w:themeShade="D9"/>
          </w:pBdr>
          <w:jc w:val="right"/>
        </w:pPr>
        <w:r w:rsidRPr="00EF21B0">
          <w:rPr>
            <w:rFonts w:ascii="Arial" w:hAnsi="Arial" w:cs="Arial"/>
            <w:sz w:val="20"/>
            <w:szCs w:val="20"/>
          </w:rPr>
          <w:fldChar w:fldCharType="begin"/>
        </w:r>
        <w:r w:rsidRPr="00EF21B0">
          <w:rPr>
            <w:rFonts w:ascii="Arial" w:hAnsi="Arial" w:cs="Arial"/>
            <w:sz w:val="20"/>
            <w:szCs w:val="20"/>
          </w:rPr>
          <w:instrText xml:space="preserve"> PAGE   \* MERGEFORMAT </w:instrText>
        </w:r>
        <w:r w:rsidRPr="00EF21B0">
          <w:rPr>
            <w:rFonts w:ascii="Arial" w:hAnsi="Arial" w:cs="Arial"/>
            <w:sz w:val="20"/>
            <w:szCs w:val="20"/>
          </w:rPr>
          <w:fldChar w:fldCharType="separate"/>
        </w:r>
        <w:r w:rsidRPr="00EF21B0">
          <w:rPr>
            <w:rFonts w:ascii="Arial" w:hAnsi="Arial" w:cs="Arial"/>
            <w:noProof/>
            <w:sz w:val="20"/>
            <w:szCs w:val="20"/>
          </w:rPr>
          <w:t>2</w:t>
        </w:r>
        <w:r w:rsidRPr="00EF21B0">
          <w:rPr>
            <w:rFonts w:ascii="Arial" w:hAnsi="Arial" w:cs="Arial"/>
            <w:noProof/>
            <w:sz w:val="20"/>
            <w:szCs w:val="20"/>
          </w:rPr>
          <w:fldChar w:fldCharType="end"/>
        </w:r>
        <w:r w:rsidRPr="00EF21B0">
          <w:rPr>
            <w:rFonts w:ascii="Arial" w:hAnsi="Arial" w:cs="Arial"/>
            <w:sz w:val="20"/>
            <w:szCs w:val="20"/>
          </w:rPr>
          <w:t xml:space="preserve"> | </w:t>
        </w:r>
        <w:r w:rsidRPr="00EF21B0">
          <w:rPr>
            <w:rFonts w:ascii="Arial" w:hAnsi="Arial" w:cs="Arial"/>
            <w:color w:val="7F7F7F" w:themeColor="background1" w:themeShade="7F"/>
            <w:spacing w:val="60"/>
            <w:sz w:val="20"/>
            <w:szCs w:val="20"/>
          </w:rPr>
          <w:t>Page</w:t>
        </w:r>
      </w:p>
    </w:sdtContent>
  </w:sdt>
  <w:p w14:paraId="7E9087B9" w14:textId="77777777" w:rsidR="0087102B" w:rsidRDefault="0087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1245" w14:textId="77777777" w:rsidR="0087102B" w:rsidRDefault="0087102B" w:rsidP="0087102B">
      <w:pPr>
        <w:spacing w:after="0" w:line="240" w:lineRule="auto"/>
      </w:pPr>
      <w:r>
        <w:separator/>
      </w:r>
    </w:p>
  </w:footnote>
  <w:footnote w:type="continuationSeparator" w:id="0">
    <w:p w14:paraId="37E274E6" w14:textId="77777777" w:rsidR="0087102B" w:rsidRDefault="0087102B" w:rsidP="0087102B">
      <w:pPr>
        <w:spacing w:after="0" w:line="240" w:lineRule="auto"/>
      </w:pPr>
      <w:r>
        <w:continuationSeparator/>
      </w:r>
    </w:p>
  </w:footnote>
  <w:footnote w:type="continuationNotice" w:id="1">
    <w:p w14:paraId="1145DB1B" w14:textId="77777777" w:rsidR="006740AD" w:rsidRDefault="006740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ADAC6"/>
    <w:multiLevelType w:val="hybridMultilevel"/>
    <w:tmpl w:val="B67ADF24"/>
    <w:lvl w:ilvl="0" w:tplc="2CFE876E">
      <w:start w:val="1"/>
      <w:numFmt w:val="bullet"/>
      <w:lvlText w:val=""/>
      <w:lvlJc w:val="left"/>
      <w:pPr>
        <w:ind w:left="720" w:hanging="360"/>
      </w:pPr>
      <w:rPr>
        <w:rFonts w:ascii="Symbol" w:hAnsi="Symbol" w:hint="default"/>
      </w:rPr>
    </w:lvl>
    <w:lvl w:ilvl="1" w:tplc="090ED3EA">
      <w:start w:val="1"/>
      <w:numFmt w:val="bullet"/>
      <w:lvlText w:val="o"/>
      <w:lvlJc w:val="left"/>
      <w:pPr>
        <w:ind w:left="1440" w:hanging="360"/>
      </w:pPr>
      <w:rPr>
        <w:rFonts w:ascii="Courier New" w:hAnsi="Courier New" w:hint="default"/>
      </w:rPr>
    </w:lvl>
    <w:lvl w:ilvl="2" w:tplc="3E7ECCBA">
      <w:start w:val="1"/>
      <w:numFmt w:val="bullet"/>
      <w:lvlText w:val=""/>
      <w:lvlJc w:val="left"/>
      <w:pPr>
        <w:ind w:left="2160" w:hanging="360"/>
      </w:pPr>
      <w:rPr>
        <w:rFonts w:ascii="Wingdings" w:hAnsi="Wingdings" w:hint="default"/>
      </w:rPr>
    </w:lvl>
    <w:lvl w:ilvl="3" w:tplc="8B469682">
      <w:start w:val="1"/>
      <w:numFmt w:val="bullet"/>
      <w:lvlText w:val=""/>
      <w:lvlJc w:val="left"/>
      <w:pPr>
        <w:ind w:left="2880" w:hanging="360"/>
      </w:pPr>
      <w:rPr>
        <w:rFonts w:ascii="Symbol" w:hAnsi="Symbol" w:hint="default"/>
      </w:rPr>
    </w:lvl>
    <w:lvl w:ilvl="4" w:tplc="7FC2DDFC">
      <w:start w:val="1"/>
      <w:numFmt w:val="bullet"/>
      <w:lvlText w:val="o"/>
      <w:lvlJc w:val="left"/>
      <w:pPr>
        <w:ind w:left="3600" w:hanging="360"/>
      </w:pPr>
      <w:rPr>
        <w:rFonts w:ascii="Courier New" w:hAnsi="Courier New" w:hint="default"/>
      </w:rPr>
    </w:lvl>
    <w:lvl w:ilvl="5" w:tplc="CC265404">
      <w:start w:val="1"/>
      <w:numFmt w:val="bullet"/>
      <w:lvlText w:val=""/>
      <w:lvlJc w:val="left"/>
      <w:pPr>
        <w:ind w:left="4320" w:hanging="360"/>
      </w:pPr>
      <w:rPr>
        <w:rFonts w:ascii="Wingdings" w:hAnsi="Wingdings" w:hint="default"/>
      </w:rPr>
    </w:lvl>
    <w:lvl w:ilvl="6" w:tplc="9A08B4DE">
      <w:start w:val="1"/>
      <w:numFmt w:val="bullet"/>
      <w:lvlText w:val=""/>
      <w:lvlJc w:val="left"/>
      <w:pPr>
        <w:ind w:left="5040" w:hanging="360"/>
      </w:pPr>
      <w:rPr>
        <w:rFonts w:ascii="Symbol" w:hAnsi="Symbol" w:hint="default"/>
      </w:rPr>
    </w:lvl>
    <w:lvl w:ilvl="7" w:tplc="52CA8706">
      <w:start w:val="1"/>
      <w:numFmt w:val="bullet"/>
      <w:lvlText w:val="o"/>
      <w:lvlJc w:val="left"/>
      <w:pPr>
        <w:ind w:left="5760" w:hanging="360"/>
      </w:pPr>
      <w:rPr>
        <w:rFonts w:ascii="Courier New" w:hAnsi="Courier New" w:hint="default"/>
      </w:rPr>
    </w:lvl>
    <w:lvl w:ilvl="8" w:tplc="650AA7DA">
      <w:start w:val="1"/>
      <w:numFmt w:val="bullet"/>
      <w:lvlText w:val=""/>
      <w:lvlJc w:val="left"/>
      <w:pPr>
        <w:ind w:left="6480" w:hanging="360"/>
      </w:pPr>
      <w:rPr>
        <w:rFonts w:ascii="Wingdings" w:hAnsi="Wingdings" w:hint="default"/>
      </w:rPr>
    </w:lvl>
  </w:abstractNum>
  <w:abstractNum w:abstractNumId="1" w15:restartNumberingAfterBreak="0">
    <w:nsid w:val="28592BAF"/>
    <w:multiLevelType w:val="hybridMultilevel"/>
    <w:tmpl w:val="12406EC8"/>
    <w:lvl w:ilvl="0" w:tplc="8ECCA86C">
      <w:start w:val="1"/>
      <w:numFmt w:val="bullet"/>
      <w:lvlText w:val=""/>
      <w:lvlJc w:val="left"/>
      <w:pPr>
        <w:ind w:left="720" w:hanging="360"/>
      </w:pPr>
      <w:rPr>
        <w:rFonts w:ascii="Symbol" w:hAnsi="Symbol" w:hint="default"/>
      </w:rPr>
    </w:lvl>
    <w:lvl w:ilvl="1" w:tplc="EAAEB016">
      <w:start w:val="1"/>
      <w:numFmt w:val="bullet"/>
      <w:lvlText w:val="o"/>
      <w:lvlJc w:val="left"/>
      <w:pPr>
        <w:ind w:left="1440" w:hanging="360"/>
      </w:pPr>
      <w:rPr>
        <w:rFonts w:ascii="Courier New" w:hAnsi="Courier New" w:hint="default"/>
      </w:rPr>
    </w:lvl>
    <w:lvl w:ilvl="2" w:tplc="B374EE32">
      <w:start w:val="1"/>
      <w:numFmt w:val="bullet"/>
      <w:lvlText w:val=""/>
      <w:lvlJc w:val="left"/>
      <w:pPr>
        <w:ind w:left="2160" w:hanging="360"/>
      </w:pPr>
      <w:rPr>
        <w:rFonts w:ascii="Wingdings" w:hAnsi="Wingdings" w:hint="default"/>
      </w:rPr>
    </w:lvl>
    <w:lvl w:ilvl="3" w:tplc="833E7D78">
      <w:start w:val="1"/>
      <w:numFmt w:val="bullet"/>
      <w:lvlText w:val=""/>
      <w:lvlJc w:val="left"/>
      <w:pPr>
        <w:ind w:left="2880" w:hanging="360"/>
      </w:pPr>
      <w:rPr>
        <w:rFonts w:ascii="Symbol" w:hAnsi="Symbol" w:hint="default"/>
      </w:rPr>
    </w:lvl>
    <w:lvl w:ilvl="4" w:tplc="D144CB7E">
      <w:start w:val="1"/>
      <w:numFmt w:val="bullet"/>
      <w:lvlText w:val="o"/>
      <w:lvlJc w:val="left"/>
      <w:pPr>
        <w:ind w:left="3600" w:hanging="360"/>
      </w:pPr>
      <w:rPr>
        <w:rFonts w:ascii="Courier New" w:hAnsi="Courier New" w:hint="default"/>
      </w:rPr>
    </w:lvl>
    <w:lvl w:ilvl="5" w:tplc="5AAE19F8">
      <w:start w:val="1"/>
      <w:numFmt w:val="bullet"/>
      <w:lvlText w:val=""/>
      <w:lvlJc w:val="left"/>
      <w:pPr>
        <w:ind w:left="4320" w:hanging="360"/>
      </w:pPr>
      <w:rPr>
        <w:rFonts w:ascii="Wingdings" w:hAnsi="Wingdings" w:hint="default"/>
      </w:rPr>
    </w:lvl>
    <w:lvl w:ilvl="6" w:tplc="8AC4098A">
      <w:start w:val="1"/>
      <w:numFmt w:val="bullet"/>
      <w:lvlText w:val=""/>
      <w:lvlJc w:val="left"/>
      <w:pPr>
        <w:ind w:left="5040" w:hanging="360"/>
      </w:pPr>
      <w:rPr>
        <w:rFonts w:ascii="Symbol" w:hAnsi="Symbol" w:hint="default"/>
      </w:rPr>
    </w:lvl>
    <w:lvl w:ilvl="7" w:tplc="5C3CF742">
      <w:start w:val="1"/>
      <w:numFmt w:val="bullet"/>
      <w:lvlText w:val="o"/>
      <w:lvlJc w:val="left"/>
      <w:pPr>
        <w:ind w:left="5760" w:hanging="360"/>
      </w:pPr>
      <w:rPr>
        <w:rFonts w:ascii="Courier New" w:hAnsi="Courier New" w:hint="default"/>
      </w:rPr>
    </w:lvl>
    <w:lvl w:ilvl="8" w:tplc="463E4D90">
      <w:start w:val="1"/>
      <w:numFmt w:val="bullet"/>
      <w:lvlText w:val=""/>
      <w:lvlJc w:val="left"/>
      <w:pPr>
        <w:ind w:left="6480" w:hanging="360"/>
      </w:pPr>
      <w:rPr>
        <w:rFonts w:ascii="Wingdings" w:hAnsi="Wingdings" w:hint="default"/>
      </w:rPr>
    </w:lvl>
  </w:abstractNum>
  <w:abstractNum w:abstractNumId="2" w15:restartNumberingAfterBreak="0">
    <w:nsid w:val="2CFC568D"/>
    <w:multiLevelType w:val="hybridMultilevel"/>
    <w:tmpl w:val="A3F698E4"/>
    <w:lvl w:ilvl="0" w:tplc="E440F7D6">
      <w:start w:val="1"/>
      <w:numFmt w:val="bullet"/>
      <w:lvlText w:val=""/>
      <w:lvlJc w:val="left"/>
      <w:pPr>
        <w:ind w:left="720" w:hanging="360"/>
      </w:pPr>
      <w:rPr>
        <w:rFonts w:ascii="Symbol" w:hAnsi="Symbol" w:hint="default"/>
      </w:rPr>
    </w:lvl>
    <w:lvl w:ilvl="1" w:tplc="86E6C514">
      <w:start w:val="1"/>
      <w:numFmt w:val="bullet"/>
      <w:lvlText w:val="o"/>
      <w:lvlJc w:val="left"/>
      <w:pPr>
        <w:ind w:left="1440" w:hanging="360"/>
      </w:pPr>
      <w:rPr>
        <w:rFonts w:ascii="Courier New" w:hAnsi="Courier New" w:hint="default"/>
      </w:rPr>
    </w:lvl>
    <w:lvl w:ilvl="2" w:tplc="4C106026">
      <w:start w:val="1"/>
      <w:numFmt w:val="bullet"/>
      <w:lvlText w:val=""/>
      <w:lvlJc w:val="left"/>
      <w:pPr>
        <w:ind w:left="2160" w:hanging="360"/>
      </w:pPr>
      <w:rPr>
        <w:rFonts w:ascii="Wingdings" w:hAnsi="Wingdings" w:hint="default"/>
      </w:rPr>
    </w:lvl>
    <w:lvl w:ilvl="3" w:tplc="0B063FE2">
      <w:start w:val="1"/>
      <w:numFmt w:val="bullet"/>
      <w:lvlText w:val=""/>
      <w:lvlJc w:val="left"/>
      <w:pPr>
        <w:ind w:left="2880" w:hanging="360"/>
      </w:pPr>
      <w:rPr>
        <w:rFonts w:ascii="Symbol" w:hAnsi="Symbol" w:hint="default"/>
      </w:rPr>
    </w:lvl>
    <w:lvl w:ilvl="4" w:tplc="28349A0E">
      <w:start w:val="1"/>
      <w:numFmt w:val="bullet"/>
      <w:lvlText w:val="o"/>
      <w:lvlJc w:val="left"/>
      <w:pPr>
        <w:ind w:left="3600" w:hanging="360"/>
      </w:pPr>
      <w:rPr>
        <w:rFonts w:ascii="Courier New" w:hAnsi="Courier New" w:hint="default"/>
      </w:rPr>
    </w:lvl>
    <w:lvl w:ilvl="5" w:tplc="AD74D912">
      <w:start w:val="1"/>
      <w:numFmt w:val="bullet"/>
      <w:lvlText w:val=""/>
      <w:lvlJc w:val="left"/>
      <w:pPr>
        <w:ind w:left="4320" w:hanging="360"/>
      </w:pPr>
      <w:rPr>
        <w:rFonts w:ascii="Wingdings" w:hAnsi="Wingdings" w:hint="default"/>
      </w:rPr>
    </w:lvl>
    <w:lvl w:ilvl="6" w:tplc="486CB4B2">
      <w:start w:val="1"/>
      <w:numFmt w:val="bullet"/>
      <w:lvlText w:val=""/>
      <w:lvlJc w:val="left"/>
      <w:pPr>
        <w:ind w:left="5040" w:hanging="360"/>
      </w:pPr>
      <w:rPr>
        <w:rFonts w:ascii="Symbol" w:hAnsi="Symbol" w:hint="default"/>
      </w:rPr>
    </w:lvl>
    <w:lvl w:ilvl="7" w:tplc="A85C48F6">
      <w:start w:val="1"/>
      <w:numFmt w:val="bullet"/>
      <w:lvlText w:val="o"/>
      <w:lvlJc w:val="left"/>
      <w:pPr>
        <w:ind w:left="5760" w:hanging="360"/>
      </w:pPr>
      <w:rPr>
        <w:rFonts w:ascii="Courier New" w:hAnsi="Courier New" w:hint="default"/>
      </w:rPr>
    </w:lvl>
    <w:lvl w:ilvl="8" w:tplc="6BF8A59C">
      <w:start w:val="1"/>
      <w:numFmt w:val="bullet"/>
      <w:lvlText w:val=""/>
      <w:lvlJc w:val="left"/>
      <w:pPr>
        <w:ind w:left="6480" w:hanging="360"/>
      </w:pPr>
      <w:rPr>
        <w:rFonts w:ascii="Wingdings" w:hAnsi="Wingdings" w:hint="default"/>
      </w:rPr>
    </w:lvl>
  </w:abstractNum>
  <w:abstractNum w:abstractNumId="3" w15:restartNumberingAfterBreak="0">
    <w:nsid w:val="2FA9706F"/>
    <w:multiLevelType w:val="hybridMultilevel"/>
    <w:tmpl w:val="9F9A439A"/>
    <w:lvl w:ilvl="0" w:tplc="B67E9FBE">
      <w:start w:val="1"/>
      <w:numFmt w:val="bullet"/>
      <w:lvlText w:val=""/>
      <w:lvlJc w:val="left"/>
      <w:pPr>
        <w:ind w:left="1080" w:hanging="360"/>
      </w:pPr>
      <w:rPr>
        <w:rFonts w:ascii="Symbol" w:hAnsi="Symbol" w:hint="default"/>
      </w:rPr>
    </w:lvl>
    <w:lvl w:ilvl="1" w:tplc="DB8AB894">
      <w:start w:val="1"/>
      <w:numFmt w:val="bullet"/>
      <w:lvlText w:val="o"/>
      <w:lvlJc w:val="left"/>
      <w:pPr>
        <w:ind w:left="1800" w:hanging="360"/>
      </w:pPr>
      <w:rPr>
        <w:rFonts w:ascii="Courier New" w:hAnsi="Courier New" w:hint="default"/>
      </w:rPr>
    </w:lvl>
    <w:lvl w:ilvl="2" w:tplc="84985E0E">
      <w:start w:val="1"/>
      <w:numFmt w:val="bullet"/>
      <w:lvlText w:val=""/>
      <w:lvlJc w:val="left"/>
      <w:pPr>
        <w:ind w:left="2520" w:hanging="360"/>
      </w:pPr>
      <w:rPr>
        <w:rFonts w:ascii="Wingdings" w:hAnsi="Wingdings" w:hint="default"/>
      </w:rPr>
    </w:lvl>
    <w:lvl w:ilvl="3" w:tplc="9210DA7E">
      <w:start w:val="1"/>
      <w:numFmt w:val="bullet"/>
      <w:lvlText w:val=""/>
      <w:lvlJc w:val="left"/>
      <w:pPr>
        <w:ind w:left="3240" w:hanging="360"/>
      </w:pPr>
      <w:rPr>
        <w:rFonts w:ascii="Symbol" w:hAnsi="Symbol" w:hint="default"/>
      </w:rPr>
    </w:lvl>
    <w:lvl w:ilvl="4" w:tplc="B560AFFA">
      <w:start w:val="1"/>
      <w:numFmt w:val="bullet"/>
      <w:lvlText w:val="o"/>
      <w:lvlJc w:val="left"/>
      <w:pPr>
        <w:ind w:left="3960" w:hanging="360"/>
      </w:pPr>
      <w:rPr>
        <w:rFonts w:ascii="Courier New" w:hAnsi="Courier New" w:hint="default"/>
      </w:rPr>
    </w:lvl>
    <w:lvl w:ilvl="5" w:tplc="8B547E40">
      <w:start w:val="1"/>
      <w:numFmt w:val="bullet"/>
      <w:lvlText w:val=""/>
      <w:lvlJc w:val="left"/>
      <w:pPr>
        <w:ind w:left="4680" w:hanging="360"/>
      </w:pPr>
      <w:rPr>
        <w:rFonts w:ascii="Wingdings" w:hAnsi="Wingdings" w:hint="default"/>
      </w:rPr>
    </w:lvl>
    <w:lvl w:ilvl="6" w:tplc="F676B2CA">
      <w:start w:val="1"/>
      <w:numFmt w:val="bullet"/>
      <w:lvlText w:val=""/>
      <w:lvlJc w:val="left"/>
      <w:pPr>
        <w:ind w:left="5400" w:hanging="360"/>
      </w:pPr>
      <w:rPr>
        <w:rFonts w:ascii="Symbol" w:hAnsi="Symbol" w:hint="default"/>
      </w:rPr>
    </w:lvl>
    <w:lvl w:ilvl="7" w:tplc="71E00C00">
      <w:start w:val="1"/>
      <w:numFmt w:val="bullet"/>
      <w:lvlText w:val="o"/>
      <w:lvlJc w:val="left"/>
      <w:pPr>
        <w:ind w:left="6120" w:hanging="360"/>
      </w:pPr>
      <w:rPr>
        <w:rFonts w:ascii="Courier New" w:hAnsi="Courier New" w:hint="default"/>
      </w:rPr>
    </w:lvl>
    <w:lvl w:ilvl="8" w:tplc="985C8046">
      <w:start w:val="1"/>
      <w:numFmt w:val="bullet"/>
      <w:lvlText w:val=""/>
      <w:lvlJc w:val="left"/>
      <w:pPr>
        <w:ind w:left="6840" w:hanging="360"/>
      </w:pPr>
      <w:rPr>
        <w:rFonts w:ascii="Wingdings" w:hAnsi="Wingdings" w:hint="default"/>
      </w:rPr>
    </w:lvl>
  </w:abstractNum>
  <w:abstractNum w:abstractNumId="4" w15:restartNumberingAfterBreak="0">
    <w:nsid w:val="3C49D7A6"/>
    <w:multiLevelType w:val="hybridMultilevel"/>
    <w:tmpl w:val="54DE5722"/>
    <w:lvl w:ilvl="0" w:tplc="3C725F4E">
      <w:start w:val="1"/>
      <w:numFmt w:val="bullet"/>
      <w:lvlText w:val=""/>
      <w:lvlJc w:val="left"/>
      <w:pPr>
        <w:ind w:left="720" w:hanging="360"/>
      </w:pPr>
      <w:rPr>
        <w:rFonts w:ascii="Symbol" w:hAnsi="Symbol" w:hint="default"/>
      </w:rPr>
    </w:lvl>
    <w:lvl w:ilvl="1" w:tplc="C94C0AEA">
      <w:start w:val="1"/>
      <w:numFmt w:val="bullet"/>
      <w:lvlText w:val="o"/>
      <w:lvlJc w:val="left"/>
      <w:pPr>
        <w:ind w:left="1440" w:hanging="360"/>
      </w:pPr>
      <w:rPr>
        <w:rFonts w:ascii="Courier New" w:hAnsi="Courier New" w:hint="default"/>
      </w:rPr>
    </w:lvl>
    <w:lvl w:ilvl="2" w:tplc="0CE05532">
      <w:start w:val="1"/>
      <w:numFmt w:val="bullet"/>
      <w:lvlText w:val=""/>
      <w:lvlJc w:val="left"/>
      <w:pPr>
        <w:ind w:left="2160" w:hanging="360"/>
      </w:pPr>
      <w:rPr>
        <w:rFonts w:ascii="Wingdings" w:hAnsi="Wingdings" w:hint="default"/>
      </w:rPr>
    </w:lvl>
    <w:lvl w:ilvl="3" w:tplc="D95E9224">
      <w:start w:val="1"/>
      <w:numFmt w:val="bullet"/>
      <w:lvlText w:val=""/>
      <w:lvlJc w:val="left"/>
      <w:pPr>
        <w:ind w:left="2880" w:hanging="360"/>
      </w:pPr>
      <w:rPr>
        <w:rFonts w:ascii="Symbol" w:hAnsi="Symbol" w:hint="default"/>
      </w:rPr>
    </w:lvl>
    <w:lvl w:ilvl="4" w:tplc="0A9C3E70">
      <w:start w:val="1"/>
      <w:numFmt w:val="bullet"/>
      <w:lvlText w:val="o"/>
      <w:lvlJc w:val="left"/>
      <w:pPr>
        <w:ind w:left="3600" w:hanging="360"/>
      </w:pPr>
      <w:rPr>
        <w:rFonts w:ascii="Courier New" w:hAnsi="Courier New" w:hint="default"/>
      </w:rPr>
    </w:lvl>
    <w:lvl w:ilvl="5" w:tplc="A2922878">
      <w:start w:val="1"/>
      <w:numFmt w:val="bullet"/>
      <w:lvlText w:val=""/>
      <w:lvlJc w:val="left"/>
      <w:pPr>
        <w:ind w:left="4320" w:hanging="360"/>
      </w:pPr>
      <w:rPr>
        <w:rFonts w:ascii="Wingdings" w:hAnsi="Wingdings" w:hint="default"/>
      </w:rPr>
    </w:lvl>
    <w:lvl w:ilvl="6" w:tplc="0FEC5754">
      <w:start w:val="1"/>
      <w:numFmt w:val="bullet"/>
      <w:lvlText w:val=""/>
      <w:lvlJc w:val="left"/>
      <w:pPr>
        <w:ind w:left="5040" w:hanging="360"/>
      </w:pPr>
      <w:rPr>
        <w:rFonts w:ascii="Symbol" w:hAnsi="Symbol" w:hint="default"/>
      </w:rPr>
    </w:lvl>
    <w:lvl w:ilvl="7" w:tplc="B3B26440">
      <w:start w:val="1"/>
      <w:numFmt w:val="bullet"/>
      <w:lvlText w:val="o"/>
      <w:lvlJc w:val="left"/>
      <w:pPr>
        <w:ind w:left="5760" w:hanging="360"/>
      </w:pPr>
      <w:rPr>
        <w:rFonts w:ascii="Courier New" w:hAnsi="Courier New" w:hint="default"/>
      </w:rPr>
    </w:lvl>
    <w:lvl w:ilvl="8" w:tplc="63B6DA0C">
      <w:start w:val="1"/>
      <w:numFmt w:val="bullet"/>
      <w:lvlText w:val=""/>
      <w:lvlJc w:val="left"/>
      <w:pPr>
        <w:ind w:left="6480" w:hanging="360"/>
      </w:pPr>
      <w:rPr>
        <w:rFonts w:ascii="Wingdings" w:hAnsi="Wingdings" w:hint="default"/>
      </w:rPr>
    </w:lvl>
  </w:abstractNum>
  <w:abstractNum w:abstractNumId="5" w15:restartNumberingAfterBreak="0">
    <w:nsid w:val="3F433C31"/>
    <w:multiLevelType w:val="hybridMultilevel"/>
    <w:tmpl w:val="C38EB9CE"/>
    <w:lvl w:ilvl="0" w:tplc="912CC430">
      <w:start w:val="1"/>
      <w:numFmt w:val="bullet"/>
      <w:lvlText w:val=""/>
      <w:lvlJc w:val="left"/>
      <w:pPr>
        <w:ind w:left="720" w:hanging="360"/>
      </w:pPr>
      <w:rPr>
        <w:rFonts w:ascii="Symbol" w:hAnsi="Symbol" w:hint="default"/>
      </w:rPr>
    </w:lvl>
    <w:lvl w:ilvl="1" w:tplc="0C2AEC04">
      <w:start w:val="1"/>
      <w:numFmt w:val="bullet"/>
      <w:lvlText w:val="o"/>
      <w:lvlJc w:val="left"/>
      <w:pPr>
        <w:ind w:left="1440" w:hanging="360"/>
      </w:pPr>
      <w:rPr>
        <w:rFonts w:ascii="Courier New" w:hAnsi="Courier New" w:hint="default"/>
      </w:rPr>
    </w:lvl>
    <w:lvl w:ilvl="2" w:tplc="E858259C">
      <w:start w:val="1"/>
      <w:numFmt w:val="bullet"/>
      <w:lvlText w:val=""/>
      <w:lvlJc w:val="left"/>
      <w:pPr>
        <w:ind w:left="2160" w:hanging="360"/>
      </w:pPr>
      <w:rPr>
        <w:rFonts w:ascii="Wingdings" w:hAnsi="Wingdings" w:hint="default"/>
      </w:rPr>
    </w:lvl>
    <w:lvl w:ilvl="3" w:tplc="4D0A032C">
      <w:start w:val="1"/>
      <w:numFmt w:val="bullet"/>
      <w:lvlText w:val=""/>
      <w:lvlJc w:val="left"/>
      <w:pPr>
        <w:ind w:left="2880" w:hanging="360"/>
      </w:pPr>
      <w:rPr>
        <w:rFonts w:ascii="Symbol" w:hAnsi="Symbol" w:hint="default"/>
      </w:rPr>
    </w:lvl>
    <w:lvl w:ilvl="4" w:tplc="E8105FB0">
      <w:start w:val="1"/>
      <w:numFmt w:val="bullet"/>
      <w:lvlText w:val="o"/>
      <w:lvlJc w:val="left"/>
      <w:pPr>
        <w:ind w:left="3600" w:hanging="360"/>
      </w:pPr>
      <w:rPr>
        <w:rFonts w:ascii="Courier New" w:hAnsi="Courier New" w:hint="default"/>
      </w:rPr>
    </w:lvl>
    <w:lvl w:ilvl="5" w:tplc="63C8450A">
      <w:start w:val="1"/>
      <w:numFmt w:val="bullet"/>
      <w:lvlText w:val=""/>
      <w:lvlJc w:val="left"/>
      <w:pPr>
        <w:ind w:left="4320" w:hanging="360"/>
      </w:pPr>
      <w:rPr>
        <w:rFonts w:ascii="Wingdings" w:hAnsi="Wingdings" w:hint="default"/>
      </w:rPr>
    </w:lvl>
    <w:lvl w:ilvl="6" w:tplc="F1D6521E">
      <w:start w:val="1"/>
      <w:numFmt w:val="bullet"/>
      <w:lvlText w:val=""/>
      <w:lvlJc w:val="left"/>
      <w:pPr>
        <w:ind w:left="5040" w:hanging="360"/>
      </w:pPr>
      <w:rPr>
        <w:rFonts w:ascii="Symbol" w:hAnsi="Symbol" w:hint="default"/>
      </w:rPr>
    </w:lvl>
    <w:lvl w:ilvl="7" w:tplc="A3B605E4">
      <w:start w:val="1"/>
      <w:numFmt w:val="bullet"/>
      <w:lvlText w:val="o"/>
      <w:lvlJc w:val="left"/>
      <w:pPr>
        <w:ind w:left="5760" w:hanging="360"/>
      </w:pPr>
      <w:rPr>
        <w:rFonts w:ascii="Courier New" w:hAnsi="Courier New" w:hint="default"/>
      </w:rPr>
    </w:lvl>
    <w:lvl w:ilvl="8" w:tplc="6F627BAC">
      <w:start w:val="1"/>
      <w:numFmt w:val="bullet"/>
      <w:lvlText w:val=""/>
      <w:lvlJc w:val="left"/>
      <w:pPr>
        <w:ind w:left="6480" w:hanging="360"/>
      </w:pPr>
      <w:rPr>
        <w:rFonts w:ascii="Wingdings" w:hAnsi="Wingdings" w:hint="default"/>
      </w:rPr>
    </w:lvl>
  </w:abstractNum>
  <w:abstractNum w:abstractNumId="6" w15:restartNumberingAfterBreak="0">
    <w:nsid w:val="44854238"/>
    <w:multiLevelType w:val="hybridMultilevel"/>
    <w:tmpl w:val="C4AC7272"/>
    <w:lvl w:ilvl="0" w:tplc="08423A8A">
      <w:start w:val="1"/>
      <w:numFmt w:val="bullet"/>
      <w:lvlText w:val=""/>
      <w:lvlJc w:val="left"/>
      <w:pPr>
        <w:ind w:left="720" w:hanging="360"/>
      </w:pPr>
      <w:rPr>
        <w:rFonts w:ascii="Symbol" w:hAnsi="Symbol" w:hint="default"/>
      </w:rPr>
    </w:lvl>
    <w:lvl w:ilvl="1" w:tplc="2272DD24">
      <w:start w:val="1"/>
      <w:numFmt w:val="bullet"/>
      <w:lvlText w:val="o"/>
      <w:lvlJc w:val="left"/>
      <w:pPr>
        <w:ind w:left="1440" w:hanging="360"/>
      </w:pPr>
      <w:rPr>
        <w:rFonts w:ascii="Courier New" w:hAnsi="Courier New" w:hint="default"/>
      </w:rPr>
    </w:lvl>
    <w:lvl w:ilvl="2" w:tplc="2D5ECBF8">
      <w:start w:val="1"/>
      <w:numFmt w:val="bullet"/>
      <w:lvlText w:val=""/>
      <w:lvlJc w:val="left"/>
      <w:pPr>
        <w:ind w:left="2160" w:hanging="360"/>
      </w:pPr>
      <w:rPr>
        <w:rFonts w:ascii="Wingdings" w:hAnsi="Wingdings" w:hint="default"/>
      </w:rPr>
    </w:lvl>
    <w:lvl w:ilvl="3" w:tplc="8822272E">
      <w:start w:val="1"/>
      <w:numFmt w:val="bullet"/>
      <w:lvlText w:val=""/>
      <w:lvlJc w:val="left"/>
      <w:pPr>
        <w:ind w:left="2880" w:hanging="360"/>
      </w:pPr>
      <w:rPr>
        <w:rFonts w:ascii="Symbol" w:hAnsi="Symbol" w:hint="default"/>
      </w:rPr>
    </w:lvl>
    <w:lvl w:ilvl="4" w:tplc="633089EC">
      <w:start w:val="1"/>
      <w:numFmt w:val="bullet"/>
      <w:lvlText w:val="o"/>
      <w:lvlJc w:val="left"/>
      <w:pPr>
        <w:ind w:left="3600" w:hanging="360"/>
      </w:pPr>
      <w:rPr>
        <w:rFonts w:ascii="Courier New" w:hAnsi="Courier New" w:hint="default"/>
      </w:rPr>
    </w:lvl>
    <w:lvl w:ilvl="5" w:tplc="CD665B04">
      <w:start w:val="1"/>
      <w:numFmt w:val="bullet"/>
      <w:lvlText w:val=""/>
      <w:lvlJc w:val="left"/>
      <w:pPr>
        <w:ind w:left="4320" w:hanging="360"/>
      </w:pPr>
      <w:rPr>
        <w:rFonts w:ascii="Wingdings" w:hAnsi="Wingdings" w:hint="default"/>
      </w:rPr>
    </w:lvl>
    <w:lvl w:ilvl="6" w:tplc="24A8B3D2">
      <w:start w:val="1"/>
      <w:numFmt w:val="bullet"/>
      <w:lvlText w:val=""/>
      <w:lvlJc w:val="left"/>
      <w:pPr>
        <w:ind w:left="5040" w:hanging="360"/>
      </w:pPr>
      <w:rPr>
        <w:rFonts w:ascii="Symbol" w:hAnsi="Symbol" w:hint="default"/>
      </w:rPr>
    </w:lvl>
    <w:lvl w:ilvl="7" w:tplc="036228F2">
      <w:start w:val="1"/>
      <w:numFmt w:val="bullet"/>
      <w:lvlText w:val="o"/>
      <w:lvlJc w:val="left"/>
      <w:pPr>
        <w:ind w:left="5760" w:hanging="360"/>
      </w:pPr>
      <w:rPr>
        <w:rFonts w:ascii="Courier New" w:hAnsi="Courier New" w:hint="default"/>
      </w:rPr>
    </w:lvl>
    <w:lvl w:ilvl="8" w:tplc="45A07D18">
      <w:start w:val="1"/>
      <w:numFmt w:val="bullet"/>
      <w:lvlText w:val=""/>
      <w:lvlJc w:val="left"/>
      <w:pPr>
        <w:ind w:left="6480" w:hanging="360"/>
      </w:pPr>
      <w:rPr>
        <w:rFonts w:ascii="Wingdings" w:hAnsi="Wingdings" w:hint="default"/>
      </w:rPr>
    </w:lvl>
  </w:abstractNum>
  <w:abstractNum w:abstractNumId="7" w15:restartNumberingAfterBreak="0">
    <w:nsid w:val="4C5CE15E"/>
    <w:multiLevelType w:val="hybridMultilevel"/>
    <w:tmpl w:val="2DF0BA92"/>
    <w:lvl w:ilvl="0" w:tplc="E13A3348">
      <w:start w:val="1"/>
      <w:numFmt w:val="bullet"/>
      <w:lvlText w:val=""/>
      <w:lvlJc w:val="left"/>
      <w:pPr>
        <w:ind w:left="1080" w:hanging="360"/>
      </w:pPr>
      <w:rPr>
        <w:rFonts w:ascii="Symbol" w:hAnsi="Symbol" w:hint="default"/>
      </w:rPr>
    </w:lvl>
    <w:lvl w:ilvl="1" w:tplc="AB8CCDC2">
      <w:start w:val="1"/>
      <w:numFmt w:val="bullet"/>
      <w:lvlText w:val="o"/>
      <w:lvlJc w:val="left"/>
      <w:pPr>
        <w:ind w:left="1800" w:hanging="360"/>
      </w:pPr>
      <w:rPr>
        <w:rFonts w:ascii="Courier New" w:hAnsi="Courier New" w:hint="default"/>
      </w:rPr>
    </w:lvl>
    <w:lvl w:ilvl="2" w:tplc="10F4E196">
      <w:start w:val="1"/>
      <w:numFmt w:val="bullet"/>
      <w:lvlText w:val=""/>
      <w:lvlJc w:val="left"/>
      <w:pPr>
        <w:ind w:left="2520" w:hanging="360"/>
      </w:pPr>
      <w:rPr>
        <w:rFonts w:ascii="Wingdings" w:hAnsi="Wingdings" w:hint="default"/>
      </w:rPr>
    </w:lvl>
    <w:lvl w:ilvl="3" w:tplc="BF6C43FE">
      <w:start w:val="1"/>
      <w:numFmt w:val="bullet"/>
      <w:lvlText w:val=""/>
      <w:lvlJc w:val="left"/>
      <w:pPr>
        <w:ind w:left="3240" w:hanging="360"/>
      </w:pPr>
      <w:rPr>
        <w:rFonts w:ascii="Symbol" w:hAnsi="Symbol" w:hint="default"/>
      </w:rPr>
    </w:lvl>
    <w:lvl w:ilvl="4" w:tplc="D76620B0">
      <w:start w:val="1"/>
      <w:numFmt w:val="bullet"/>
      <w:lvlText w:val="o"/>
      <w:lvlJc w:val="left"/>
      <w:pPr>
        <w:ind w:left="3960" w:hanging="360"/>
      </w:pPr>
      <w:rPr>
        <w:rFonts w:ascii="Courier New" w:hAnsi="Courier New" w:hint="default"/>
      </w:rPr>
    </w:lvl>
    <w:lvl w:ilvl="5" w:tplc="6F22E984">
      <w:start w:val="1"/>
      <w:numFmt w:val="bullet"/>
      <w:lvlText w:val=""/>
      <w:lvlJc w:val="left"/>
      <w:pPr>
        <w:ind w:left="4680" w:hanging="360"/>
      </w:pPr>
      <w:rPr>
        <w:rFonts w:ascii="Wingdings" w:hAnsi="Wingdings" w:hint="default"/>
      </w:rPr>
    </w:lvl>
    <w:lvl w:ilvl="6" w:tplc="FCA60D28">
      <w:start w:val="1"/>
      <w:numFmt w:val="bullet"/>
      <w:lvlText w:val=""/>
      <w:lvlJc w:val="left"/>
      <w:pPr>
        <w:ind w:left="5400" w:hanging="360"/>
      </w:pPr>
      <w:rPr>
        <w:rFonts w:ascii="Symbol" w:hAnsi="Symbol" w:hint="default"/>
      </w:rPr>
    </w:lvl>
    <w:lvl w:ilvl="7" w:tplc="3A263E52">
      <w:start w:val="1"/>
      <w:numFmt w:val="bullet"/>
      <w:lvlText w:val="o"/>
      <w:lvlJc w:val="left"/>
      <w:pPr>
        <w:ind w:left="6120" w:hanging="360"/>
      </w:pPr>
      <w:rPr>
        <w:rFonts w:ascii="Courier New" w:hAnsi="Courier New" w:hint="default"/>
      </w:rPr>
    </w:lvl>
    <w:lvl w:ilvl="8" w:tplc="60146EF8">
      <w:start w:val="1"/>
      <w:numFmt w:val="bullet"/>
      <w:lvlText w:val=""/>
      <w:lvlJc w:val="left"/>
      <w:pPr>
        <w:ind w:left="6840" w:hanging="360"/>
      </w:pPr>
      <w:rPr>
        <w:rFonts w:ascii="Wingdings" w:hAnsi="Wingdings" w:hint="default"/>
      </w:rPr>
    </w:lvl>
  </w:abstractNum>
  <w:abstractNum w:abstractNumId="8" w15:restartNumberingAfterBreak="0">
    <w:nsid w:val="4F2B9297"/>
    <w:multiLevelType w:val="hybridMultilevel"/>
    <w:tmpl w:val="63CA9DF6"/>
    <w:lvl w:ilvl="0" w:tplc="5358B0B2">
      <w:start w:val="1"/>
      <w:numFmt w:val="bullet"/>
      <w:lvlText w:val=""/>
      <w:lvlJc w:val="left"/>
      <w:pPr>
        <w:ind w:left="720" w:hanging="360"/>
      </w:pPr>
      <w:rPr>
        <w:rFonts w:ascii="Symbol" w:hAnsi="Symbol" w:hint="default"/>
      </w:rPr>
    </w:lvl>
    <w:lvl w:ilvl="1" w:tplc="36222CCE">
      <w:start w:val="1"/>
      <w:numFmt w:val="bullet"/>
      <w:lvlText w:val="o"/>
      <w:lvlJc w:val="left"/>
      <w:pPr>
        <w:ind w:left="1440" w:hanging="360"/>
      </w:pPr>
      <w:rPr>
        <w:rFonts w:ascii="Courier New" w:hAnsi="Courier New" w:hint="default"/>
      </w:rPr>
    </w:lvl>
    <w:lvl w:ilvl="2" w:tplc="5296BCC4">
      <w:start w:val="1"/>
      <w:numFmt w:val="bullet"/>
      <w:lvlText w:val=""/>
      <w:lvlJc w:val="left"/>
      <w:pPr>
        <w:ind w:left="2160" w:hanging="360"/>
      </w:pPr>
      <w:rPr>
        <w:rFonts w:ascii="Wingdings" w:hAnsi="Wingdings" w:hint="default"/>
      </w:rPr>
    </w:lvl>
    <w:lvl w:ilvl="3" w:tplc="2B00EA2C">
      <w:start w:val="1"/>
      <w:numFmt w:val="bullet"/>
      <w:lvlText w:val=""/>
      <w:lvlJc w:val="left"/>
      <w:pPr>
        <w:ind w:left="2880" w:hanging="360"/>
      </w:pPr>
      <w:rPr>
        <w:rFonts w:ascii="Symbol" w:hAnsi="Symbol" w:hint="default"/>
      </w:rPr>
    </w:lvl>
    <w:lvl w:ilvl="4" w:tplc="18F8289C">
      <w:start w:val="1"/>
      <w:numFmt w:val="bullet"/>
      <w:lvlText w:val="o"/>
      <w:lvlJc w:val="left"/>
      <w:pPr>
        <w:ind w:left="3600" w:hanging="360"/>
      </w:pPr>
      <w:rPr>
        <w:rFonts w:ascii="Courier New" w:hAnsi="Courier New" w:hint="default"/>
      </w:rPr>
    </w:lvl>
    <w:lvl w:ilvl="5" w:tplc="366C3E00">
      <w:start w:val="1"/>
      <w:numFmt w:val="bullet"/>
      <w:lvlText w:val=""/>
      <w:lvlJc w:val="left"/>
      <w:pPr>
        <w:ind w:left="4320" w:hanging="360"/>
      </w:pPr>
      <w:rPr>
        <w:rFonts w:ascii="Wingdings" w:hAnsi="Wingdings" w:hint="default"/>
      </w:rPr>
    </w:lvl>
    <w:lvl w:ilvl="6" w:tplc="D570C30E">
      <w:start w:val="1"/>
      <w:numFmt w:val="bullet"/>
      <w:lvlText w:val=""/>
      <w:lvlJc w:val="left"/>
      <w:pPr>
        <w:ind w:left="5040" w:hanging="360"/>
      </w:pPr>
      <w:rPr>
        <w:rFonts w:ascii="Symbol" w:hAnsi="Symbol" w:hint="default"/>
      </w:rPr>
    </w:lvl>
    <w:lvl w:ilvl="7" w:tplc="8DE6491A">
      <w:start w:val="1"/>
      <w:numFmt w:val="bullet"/>
      <w:lvlText w:val="o"/>
      <w:lvlJc w:val="left"/>
      <w:pPr>
        <w:ind w:left="5760" w:hanging="360"/>
      </w:pPr>
      <w:rPr>
        <w:rFonts w:ascii="Courier New" w:hAnsi="Courier New" w:hint="default"/>
      </w:rPr>
    </w:lvl>
    <w:lvl w:ilvl="8" w:tplc="E84E79BE">
      <w:start w:val="1"/>
      <w:numFmt w:val="bullet"/>
      <w:lvlText w:val=""/>
      <w:lvlJc w:val="left"/>
      <w:pPr>
        <w:ind w:left="6480" w:hanging="360"/>
      </w:pPr>
      <w:rPr>
        <w:rFonts w:ascii="Wingdings" w:hAnsi="Wingdings" w:hint="default"/>
      </w:rPr>
    </w:lvl>
  </w:abstractNum>
  <w:abstractNum w:abstractNumId="9" w15:restartNumberingAfterBreak="0">
    <w:nsid w:val="5B51E197"/>
    <w:multiLevelType w:val="hybridMultilevel"/>
    <w:tmpl w:val="EBC21934"/>
    <w:lvl w:ilvl="0" w:tplc="477CE2C0">
      <w:start w:val="1"/>
      <w:numFmt w:val="bullet"/>
      <w:lvlText w:val=""/>
      <w:lvlJc w:val="left"/>
      <w:pPr>
        <w:ind w:left="720" w:hanging="360"/>
      </w:pPr>
      <w:rPr>
        <w:rFonts w:ascii="Symbol" w:hAnsi="Symbol" w:hint="default"/>
      </w:rPr>
    </w:lvl>
    <w:lvl w:ilvl="1" w:tplc="729EAEB0">
      <w:start w:val="1"/>
      <w:numFmt w:val="bullet"/>
      <w:lvlText w:val="o"/>
      <w:lvlJc w:val="left"/>
      <w:pPr>
        <w:ind w:left="1440" w:hanging="360"/>
      </w:pPr>
      <w:rPr>
        <w:rFonts w:ascii="Courier New" w:hAnsi="Courier New" w:hint="default"/>
      </w:rPr>
    </w:lvl>
    <w:lvl w:ilvl="2" w:tplc="28BE7BD6">
      <w:start w:val="1"/>
      <w:numFmt w:val="bullet"/>
      <w:lvlText w:val=""/>
      <w:lvlJc w:val="left"/>
      <w:pPr>
        <w:ind w:left="2160" w:hanging="360"/>
      </w:pPr>
      <w:rPr>
        <w:rFonts w:ascii="Wingdings" w:hAnsi="Wingdings" w:hint="default"/>
      </w:rPr>
    </w:lvl>
    <w:lvl w:ilvl="3" w:tplc="32D0BC60">
      <w:start w:val="1"/>
      <w:numFmt w:val="bullet"/>
      <w:lvlText w:val=""/>
      <w:lvlJc w:val="left"/>
      <w:pPr>
        <w:ind w:left="2880" w:hanging="360"/>
      </w:pPr>
      <w:rPr>
        <w:rFonts w:ascii="Symbol" w:hAnsi="Symbol" w:hint="default"/>
      </w:rPr>
    </w:lvl>
    <w:lvl w:ilvl="4" w:tplc="2A2C47BC">
      <w:start w:val="1"/>
      <w:numFmt w:val="bullet"/>
      <w:lvlText w:val="o"/>
      <w:lvlJc w:val="left"/>
      <w:pPr>
        <w:ind w:left="3600" w:hanging="360"/>
      </w:pPr>
      <w:rPr>
        <w:rFonts w:ascii="Courier New" w:hAnsi="Courier New" w:hint="default"/>
      </w:rPr>
    </w:lvl>
    <w:lvl w:ilvl="5" w:tplc="816EFEE4">
      <w:start w:val="1"/>
      <w:numFmt w:val="bullet"/>
      <w:lvlText w:val=""/>
      <w:lvlJc w:val="left"/>
      <w:pPr>
        <w:ind w:left="4320" w:hanging="360"/>
      </w:pPr>
      <w:rPr>
        <w:rFonts w:ascii="Wingdings" w:hAnsi="Wingdings" w:hint="default"/>
      </w:rPr>
    </w:lvl>
    <w:lvl w:ilvl="6" w:tplc="39F4D49C">
      <w:start w:val="1"/>
      <w:numFmt w:val="bullet"/>
      <w:lvlText w:val=""/>
      <w:lvlJc w:val="left"/>
      <w:pPr>
        <w:ind w:left="5040" w:hanging="360"/>
      </w:pPr>
      <w:rPr>
        <w:rFonts w:ascii="Symbol" w:hAnsi="Symbol" w:hint="default"/>
      </w:rPr>
    </w:lvl>
    <w:lvl w:ilvl="7" w:tplc="0C880EE6">
      <w:start w:val="1"/>
      <w:numFmt w:val="bullet"/>
      <w:lvlText w:val="o"/>
      <w:lvlJc w:val="left"/>
      <w:pPr>
        <w:ind w:left="5760" w:hanging="360"/>
      </w:pPr>
      <w:rPr>
        <w:rFonts w:ascii="Courier New" w:hAnsi="Courier New" w:hint="default"/>
      </w:rPr>
    </w:lvl>
    <w:lvl w:ilvl="8" w:tplc="08FE784A">
      <w:start w:val="1"/>
      <w:numFmt w:val="bullet"/>
      <w:lvlText w:val=""/>
      <w:lvlJc w:val="left"/>
      <w:pPr>
        <w:ind w:left="6480" w:hanging="360"/>
      </w:pPr>
      <w:rPr>
        <w:rFonts w:ascii="Wingdings" w:hAnsi="Wingdings" w:hint="default"/>
      </w:rPr>
    </w:lvl>
  </w:abstractNum>
  <w:abstractNum w:abstractNumId="10" w15:restartNumberingAfterBreak="0">
    <w:nsid w:val="65887EA2"/>
    <w:multiLevelType w:val="hybridMultilevel"/>
    <w:tmpl w:val="6B0ACFEA"/>
    <w:lvl w:ilvl="0" w:tplc="C99E67D2">
      <w:start w:val="1"/>
      <w:numFmt w:val="bullet"/>
      <w:lvlText w:val=""/>
      <w:lvlJc w:val="left"/>
      <w:pPr>
        <w:ind w:left="720" w:hanging="360"/>
      </w:pPr>
      <w:rPr>
        <w:rFonts w:ascii="Symbol" w:hAnsi="Symbol" w:hint="default"/>
      </w:rPr>
    </w:lvl>
    <w:lvl w:ilvl="1" w:tplc="7318E64E">
      <w:start w:val="1"/>
      <w:numFmt w:val="bullet"/>
      <w:lvlText w:val="o"/>
      <w:lvlJc w:val="left"/>
      <w:pPr>
        <w:ind w:left="1440" w:hanging="360"/>
      </w:pPr>
      <w:rPr>
        <w:rFonts w:ascii="Courier New" w:hAnsi="Courier New" w:hint="default"/>
      </w:rPr>
    </w:lvl>
    <w:lvl w:ilvl="2" w:tplc="EB4437CC">
      <w:start w:val="1"/>
      <w:numFmt w:val="bullet"/>
      <w:lvlText w:val=""/>
      <w:lvlJc w:val="left"/>
      <w:pPr>
        <w:ind w:left="2160" w:hanging="360"/>
      </w:pPr>
      <w:rPr>
        <w:rFonts w:ascii="Wingdings" w:hAnsi="Wingdings" w:hint="default"/>
      </w:rPr>
    </w:lvl>
    <w:lvl w:ilvl="3" w:tplc="1298A09C">
      <w:start w:val="1"/>
      <w:numFmt w:val="bullet"/>
      <w:lvlText w:val=""/>
      <w:lvlJc w:val="left"/>
      <w:pPr>
        <w:ind w:left="2880" w:hanging="360"/>
      </w:pPr>
      <w:rPr>
        <w:rFonts w:ascii="Symbol" w:hAnsi="Symbol" w:hint="default"/>
      </w:rPr>
    </w:lvl>
    <w:lvl w:ilvl="4" w:tplc="1342098E">
      <w:start w:val="1"/>
      <w:numFmt w:val="bullet"/>
      <w:lvlText w:val="o"/>
      <w:lvlJc w:val="left"/>
      <w:pPr>
        <w:ind w:left="3600" w:hanging="360"/>
      </w:pPr>
      <w:rPr>
        <w:rFonts w:ascii="Courier New" w:hAnsi="Courier New" w:hint="default"/>
      </w:rPr>
    </w:lvl>
    <w:lvl w:ilvl="5" w:tplc="031825CE">
      <w:start w:val="1"/>
      <w:numFmt w:val="bullet"/>
      <w:lvlText w:val=""/>
      <w:lvlJc w:val="left"/>
      <w:pPr>
        <w:ind w:left="4320" w:hanging="360"/>
      </w:pPr>
      <w:rPr>
        <w:rFonts w:ascii="Wingdings" w:hAnsi="Wingdings" w:hint="default"/>
      </w:rPr>
    </w:lvl>
    <w:lvl w:ilvl="6" w:tplc="B1848CB6">
      <w:start w:val="1"/>
      <w:numFmt w:val="bullet"/>
      <w:lvlText w:val=""/>
      <w:lvlJc w:val="left"/>
      <w:pPr>
        <w:ind w:left="5040" w:hanging="360"/>
      </w:pPr>
      <w:rPr>
        <w:rFonts w:ascii="Symbol" w:hAnsi="Symbol" w:hint="default"/>
      </w:rPr>
    </w:lvl>
    <w:lvl w:ilvl="7" w:tplc="97CE44B8">
      <w:start w:val="1"/>
      <w:numFmt w:val="bullet"/>
      <w:lvlText w:val="o"/>
      <w:lvlJc w:val="left"/>
      <w:pPr>
        <w:ind w:left="5760" w:hanging="360"/>
      </w:pPr>
      <w:rPr>
        <w:rFonts w:ascii="Courier New" w:hAnsi="Courier New" w:hint="default"/>
      </w:rPr>
    </w:lvl>
    <w:lvl w:ilvl="8" w:tplc="9FD410BC">
      <w:start w:val="1"/>
      <w:numFmt w:val="bullet"/>
      <w:lvlText w:val=""/>
      <w:lvlJc w:val="left"/>
      <w:pPr>
        <w:ind w:left="6480" w:hanging="360"/>
      </w:pPr>
      <w:rPr>
        <w:rFonts w:ascii="Wingdings" w:hAnsi="Wingdings" w:hint="default"/>
      </w:rPr>
    </w:lvl>
  </w:abstractNum>
  <w:abstractNum w:abstractNumId="11" w15:restartNumberingAfterBreak="0">
    <w:nsid w:val="6AFE28F1"/>
    <w:multiLevelType w:val="hybridMultilevel"/>
    <w:tmpl w:val="2160B218"/>
    <w:lvl w:ilvl="0" w:tplc="CCCC603A">
      <w:start w:val="1"/>
      <w:numFmt w:val="bullet"/>
      <w:lvlText w:val=""/>
      <w:lvlJc w:val="left"/>
      <w:pPr>
        <w:ind w:left="720" w:hanging="360"/>
      </w:pPr>
      <w:rPr>
        <w:rFonts w:ascii="Symbol" w:hAnsi="Symbol" w:hint="default"/>
      </w:rPr>
    </w:lvl>
    <w:lvl w:ilvl="1" w:tplc="EB8E6A34">
      <w:start w:val="1"/>
      <w:numFmt w:val="bullet"/>
      <w:lvlText w:val="o"/>
      <w:lvlJc w:val="left"/>
      <w:pPr>
        <w:ind w:left="1440" w:hanging="360"/>
      </w:pPr>
      <w:rPr>
        <w:rFonts w:ascii="Courier New" w:hAnsi="Courier New" w:hint="default"/>
      </w:rPr>
    </w:lvl>
    <w:lvl w:ilvl="2" w:tplc="B0926006">
      <w:start w:val="1"/>
      <w:numFmt w:val="bullet"/>
      <w:lvlText w:val=""/>
      <w:lvlJc w:val="left"/>
      <w:pPr>
        <w:ind w:left="2160" w:hanging="360"/>
      </w:pPr>
      <w:rPr>
        <w:rFonts w:ascii="Wingdings" w:hAnsi="Wingdings" w:hint="default"/>
      </w:rPr>
    </w:lvl>
    <w:lvl w:ilvl="3" w:tplc="41D62042">
      <w:start w:val="1"/>
      <w:numFmt w:val="bullet"/>
      <w:lvlText w:val=""/>
      <w:lvlJc w:val="left"/>
      <w:pPr>
        <w:ind w:left="2880" w:hanging="360"/>
      </w:pPr>
      <w:rPr>
        <w:rFonts w:ascii="Symbol" w:hAnsi="Symbol" w:hint="default"/>
      </w:rPr>
    </w:lvl>
    <w:lvl w:ilvl="4" w:tplc="CC7C3DCA">
      <w:start w:val="1"/>
      <w:numFmt w:val="bullet"/>
      <w:lvlText w:val="o"/>
      <w:lvlJc w:val="left"/>
      <w:pPr>
        <w:ind w:left="3600" w:hanging="360"/>
      </w:pPr>
      <w:rPr>
        <w:rFonts w:ascii="Courier New" w:hAnsi="Courier New" w:hint="default"/>
      </w:rPr>
    </w:lvl>
    <w:lvl w:ilvl="5" w:tplc="C8725E36">
      <w:start w:val="1"/>
      <w:numFmt w:val="bullet"/>
      <w:lvlText w:val=""/>
      <w:lvlJc w:val="left"/>
      <w:pPr>
        <w:ind w:left="4320" w:hanging="360"/>
      </w:pPr>
      <w:rPr>
        <w:rFonts w:ascii="Wingdings" w:hAnsi="Wingdings" w:hint="default"/>
      </w:rPr>
    </w:lvl>
    <w:lvl w:ilvl="6" w:tplc="96B66FCA">
      <w:start w:val="1"/>
      <w:numFmt w:val="bullet"/>
      <w:lvlText w:val=""/>
      <w:lvlJc w:val="left"/>
      <w:pPr>
        <w:ind w:left="5040" w:hanging="360"/>
      </w:pPr>
      <w:rPr>
        <w:rFonts w:ascii="Symbol" w:hAnsi="Symbol" w:hint="default"/>
      </w:rPr>
    </w:lvl>
    <w:lvl w:ilvl="7" w:tplc="1A0CB0A4">
      <w:start w:val="1"/>
      <w:numFmt w:val="bullet"/>
      <w:lvlText w:val="o"/>
      <w:lvlJc w:val="left"/>
      <w:pPr>
        <w:ind w:left="5760" w:hanging="360"/>
      </w:pPr>
      <w:rPr>
        <w:rFonts w:ascii="Courier New" w:hAnsi="Courier New" w:hint="default"/>
      </w:rPr>
    </w:lvl>
    <w:lvl w:ilvl="8" w:tplc="01349A5C">
      <w:start w:val="1"/>
      <w:numFmt w:val="bullet"/>
      <w:lvlText w:val=""/>
      <w:lvlJc w:val="left"/>
      <w:pPr>
        <w:ind w:left="6480" w:hanging="360"/>
      </w:pPr>
      <w:rPr>
        <w:rFonts w:ascii="Wingdings" w:hAnsi="Wingdings" w:hint="default"/>
      </w:rPr>
    </w:lvl>
  </w:abstractNum>
  <w:abstractNum w:abstractNumId="12" w15:restartNumberingAfterBreak="0">
    <w:nsid w:val="7A4976AB"/>
    <w:multiLevelType w:val="hybridMultilevel"/>
    <w:tmpl w:val="FD34700E"/>
    <w:lvl w:ilvl="0" w:tplc="4B3CC530">
      <w:start w:val="1"/>
      <w:numFmt w:val="bullet"/>
      <w:lvlText w:val=""/>
      <w:lvlJc w:val="left"/>
      <w:pPr>
        <w:ind w:left="720" w:hanging="360"/>
      </w:pPr>
      <w:rPr>
        <w:rFonts w:ascii="Symbol" w:hAnsi="Symbol" w:hint="default"/>
      </w:rPr>
    </w:lvl>
    <w:lvl w:ilvl="1" w:tplc="78E6A112">
      <w:start w:val="1"/>
      <w:numFmt w:val="bullet"/>
      <w:lvlText w:val="o"/>
      <w:lvlJc w:val="left"/>
      <w:pPr>
        <w:ind w:left="1440" w:hanging="360"/>
      </w:pPr>
      <w:rPr>
        <w:rFonts w:ascii="Courier New" w:hAnsi="Courier New" w:hint="default"/>
      </w:rPr>
    </w:lvl>
    <w:lvl w:ilvl="2" w:tplc="AEC675BC">
      <w:start w:val="1"/>
      <w:numFmt w:val="bullet"/>
      <w:lvlText w:val=""/>
      <w:lvlJc w:val="left"/>
      <w:pPr>
        <w:ind w:left="2160" w:hanging="360"/>
      </w:pPr>
      <w:rPr>
        <w:rFonts w:ascii="Wingdings" w:hAnsi="Wingdings" w:hint="default"/>
      </w:rPr>
    </w:lvl>
    <w:lvl w:ilvl="3" w:tplc="1A14DAC2">
      <w:start w:val="1"/>
      <w:numFmt w:val="bullet"/>
      <w:lvlText w:val=""/>
      <w:lvlJc w:val="left"/>
      <w:pPr>
        <w:ind w:left="2880" w:hanging="360"/>
      </w:pPr>
      <w:rPr>
        <w:rFonts w:ascii="Symbol" w:hAnsi="Symbol" w:hint="default"/>
      </w:rPr>
    </w:lvl>
    <w:lvl w:ilvl="4" w:tplc="D7D23FC4">
      <w:start w:val="1"/>
      <w:numFmt w:val="bullet"/>
      <w:lvlText w:val="o"/>
      <w:lvlJc w:val="left"/>
      <w:pPr>
        <w:ind w:left="3600" w:hanging="360"/>
      </w:pPr>
      <w:rPr>
        <w:rFonts w:ascii="Courier New" w:hAnsi="Courier New" w:hint="default"/>
      </w:rPr>
    </w:lvl>
    <w:lvl w:ilvl="5" w:tplc="C0E21D0A">
      <w:start w:val="1"/>
      <w:numFmt w:val="bullet"/>
      <w:lvlText w:val=""/>
      <w:lvlJc w:val="left"/>
      <w:pPr>
        <w:ind w:left="4320" w:hanging="360"/>
      </w:pPr>
      <w:rPr>
        <w:rFonts w:ascii="Wingdings" w:hAnsi="Wingdings" w:hint="default"/>
      </w:rPr>
    </w:lvl>
    <w:lvl w:ilvl="6" w:tplc="5036B532">
      <w:start w:val="1"/>
      <w:numFmt w:val="bullet"/>
      <w:lvlText w:val=""/>
      <w:lvlJc w:val="left"/>
      <w:pPr>
        <w:ind w:left="5040" w:hanging="360"/>
      </w:pPr>
      <w:rPr>
        <w:rFonts w:ascii="Symbol" w:hAnsi="Symbol" w:hint="default"/>
      </w:rPr>
    </w:lvl>
    <w:lvl w:ilvl="7" w:tplc="C9263084">
      <w:start w:val="1"/>
      <w:numFmt w:val="bullet"/>
      <w:lvlText w:val="o"/>
      <w:lvlJc w:val="left"/>
      <w:pPr>
        <w:ind w:left="5760" w:hanging="360"/>
      </w:pPr>
      <w:rPr>
        <w:rFonts w:ascii="Courier New" w:hAnsi="Courier New" w:hint="default"/>
      </w:rPr>
    </w:lvl>
    <w:lvl w:ilvl="8" w:tplc="87624946">
      <w:start w:val="1"/>
      <w:numFmt w:val="bullet"/>
      <w:lvlText w:val=""/>
      <w:lvlJc w:val="left"/>
      <w:pPr>
        <w:ind w:left="6480" w:hanging="360"/>
      </w:pPr>
      <w:rPr>
        <w:rFonts w:ascii="Wingdings" w:hAnsi="Wingdings" w:hint="default"/>
      </w:rPr>
    </w:lvl>
  </w:abstractNum>
  <w:num w:numId="1" w16cid:durableId="727262637">
    <w:abstractNumId w:val="12"/>
  </w:num>
  <w:num w:numId="2" w16cid:durableId="1418744759">
    <w:abstractNumId w:val="6"/>
  </w:num>
  <w:num w:numId="3" w16cid:durableId="669600284">
    <w:abstractNumId w:val="11"/>
  </w:num>
  <w:num w:numId="4" w16cid:durableId="1196700614">
    <w:abstractNumId w:val="8"/>
  </w:num>
  <w:num w:numId="5" w16cid:durableId="2065445732">
    <w:abstractNumId w:val="7"/>
  </w:num>
  <w:num w:numId="6" w16cid:durableId="1122070688">
    <w:abstractNumId w:val="9"/>
  </w:num>
  <w:num w:numId="7" w16cid:durableId="406155388">
    <w:abstractNumId w:val="5"/>
  </w:num>
  <w:num w:numId="8" w16cid:durableId="1902472440">
    <w:abstractNumId w:val="2"/>
  </w:num>
  <w:num w:numId="9" w16cid:durableId="1355423196">
    <w:abstractNumId w:val="1"/>
  </w:num>
  <w:num w:numId="10" w16cid:durableId="117065348">
    <w:abstractNumId w:val="3"/>
  </w:num>
  <w:num w:numId="11" w16cid:durableId="915089655">
    <w:abstractNumId w:val="4"/>
  </w:num>
  <w:num w:numId="12" w16cid:durableId="154683927">
    <w:abstractNumId w:val="0"/>
  </w:num>
  <w:num w:numId="13" w16cid:durableId="1422289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D2FFD4"/>
    <w:rsid w:val="000B4279"/>
    <w:rsid w:val="002E5265"/>
    <w:rsid w:val="00326411"/>
    <w:rsid w:val="004320D2"/>
    <w:rsid w:val="005F2FAF"/>
    <w:rsid w:val="006740AD"/>
    <w:rsid w:val="00774D53"/>
    <w:rsid w:val="007A3335"/>
    <w:rsid w:val="0087102B"/>
    <w:rsid w:val="0098792F"/>
    <w:rsid w:val="00BE6AE7"/>
    <w:rsid w:val="00EF21B0"/>
    <w:rsid w:val="010CCB4C"/>
    <w:rsid w:val="01A0D253"/>
    <w:rsid w:val="02DC1102"/>
    <w:rsid w:val="02FA313E"/>
    <w:rsid w:val="03FD7155"/>
    <w:rsid w:val="04FFD260"/>
    <w:rsid w:val="05EBF526"/>
    <w:rsid w:val="061EA90A"/>
    <w:rsid w:val="06990455"/>
    <w:rsid w:val="080B7516"/>
    <w:rsid w:val="09F6DCC8"/>
    <w:rsid w:val="0A53DF00"/>
    <w:rsid w:val="0B259AD8"/>
    <w:rsid w:val="0C33235E"/>
    <w:rsid w:val="0CD37FD9"/>
    <w:rsid w:val="0D55AB4D"/>
    <w:rsid w:val="0D9DB899"/>
    <w:rsid w:val="109A9AA3"/>
    <w:rsid w:val="10D08798"/>
    <w:rsid w:val="116B0396"/>
    <w:rsid w:val="118008A6"/>
    <w:rsid w:val="12049F28"/>
    <w:rsid w:val="125553FF"/>
    <w:rsid w:val="1263BCED"/>
    <w:rsid w:val="13131947"/>
    <w:rsid w:val="137C71E8"/>
    <w:rsid w:val="13B95727"/>
    <w:rsid w:val="15A71B39"/>
    <w:rsid w:val="1659D2E9"/>
    <w:rsid w:val="1693F57D"/>
    <w:rsid w:val="17B0FE49"/>
    <w:rsid w:val="1829FD36"/>
    <w:rsid w:val="1A2736E5"/>
    <w:rsid w:val="1A5F21B2"/>
    <w:rsid w:val="1AB66589"/>
    <w:rsid w:val="1B049AB9"/>
    <w:rsid w:val="1B8990D8"/>
    <w:rsid w:val="1C89181C"/>
    <w:rsid w:val="1CBC7FF5"/>
    <w:rsid w:val="1CD993A6"/>
    <w:rsid w:val="1E808532"/>
    <w:rsid w:val="2025926A"/>
    <w:rsid w:val="20D514E6"/>
    <w:rsid w:val="213F996B"/>
    <w:rsid w:val="22C0E4AF"/>
    <w:rsid w:val="232C7A20"/>
    <w:rsid w:val="23448B11"/>
    <w:rsid w:val="23E55B9B"/>
    <w:rsid w:val="251774A9"/>
    <w:rsid w:val="2589FA6D"/>
    <w:rsid w:val="279B189B"/>
    <w:rsid w:val="27BDDC4C"/>
    <w:rsid w:val="282A7DDF"/>
    <w:rsid w:val="286AFEEC"/>
    <w:rsid w:val="29294422"/>
    <w:rsid w:val="2930BCCF"/>
    <w:rsid w:val="2A5AB1E7"/>
    <w:rsid w:val="2BF3A96E"/>
    <w:rsid w:val="2C361A39"/>
    <w:rsid w:val="2D4FA0DC"/>
    <w:rsid w:val="3042230C"/>
    <w:rsid w:val="305283C5"/>
    <w:rsid w:val="316C7C0A"/>
    <w:rsid w:val="32B36D7D"/>
    <w:rsid w:val="3344CD4B"/>
    <w:rsid w:val="34971604"/>
    <w:rsid w:val="3A379AC3"/>
    <w:rsid w:val="3A92D19F"/>
    <w:rsid w:val="3DCD01B1"/>
    <w:rsid w:val="3F139C0E"/>
    <w:rsid w:val="3F322437"/>
    <w:rsid w:val="3FC5E862"/>
    <w:rsid w:val="401BBB32"/>
    <w:rsid w:val="40BF4DAF"/>
    <w:rsid w:val="4186CE86"/>
    <w:rsid w:val="41B7BBB9"/>
    <w:rsid w:val="4437C65F"/>
    <w:rsid w:val="4520E11B"/>
    <w:rsid w:val="461086CE"/>
    <w:rsid w:val="46BC1B35"/>
    <w:rsid w:val="46C55710"/>
    <w:rsid w:val="48ECA880"/>
    <w:rsid w:val="49590848"/>
    <w:rsid w:val="49E18FEC"/>
    <w:rsid w:val="4A2C7B08"/>
    <w:rsid w:val="4A70D3C4"/>
    <w:rsid w:val="4AB67F67"/>
    <w:rsid w:val="4B38060A"/>
    <w:rsid w:val="4B4C2137"/>
    <w:rsid w:val="4C60E703"/>
    <w:rsid w:val="4C7E894B"/>
    <w:rsid w:val="4CC7D3B2"/>
    <w:rsid w:val="4CC869A6"/>
    <w:rsid w:val="4CF703A0"/>
    <w:rsid w:val="4D16B6F0"/>
    <w:rsid w:val="4D608A16"/>
    <w:rsid w:val="4E5CE875"/>
    <w:rsid w:val="4E9854EF"/>
    <w:rsid w:val="507BAB1C"/>
    <w:rsid w:val="51ACF607"/>
    <w:rsid w:val="52541F7F"/>
    <w:rsid w:val="52622F3A"/>
    <w:rsid w:val="526BDA64"/>
    <w:rsid w:val="53284534"/>
    <w:rsid w:val="532FFA69"/>
    <w:rsid w:val="5354F8B9"/>
    <w:rsid w:val="556B6E49"/>
    <w:rsid w:val="5647A51D"/>
    <w:rsid w:val="56CAAAA0"/>
    <w:rsid w:val="56DEBE44"/>
    <w:rsid w:val="58044F8B"/>
    <w:rsid w:val="58C1DB76"/>
    <w:rsid w:val="59FCF28B"/>
    <w:rsid w:val="5B979B6C"/>
    <w:rsid w:val="5BDB7160"/>
    <w:rsid w:val="5BEB9D15"/>
    <w:rsid w:val="5CCE2022"/>
    <w:rsid w:val="5E949887"/>
    <w:rsid w:val="61865AC5"/>
    <w:rsid w:val="6203EB4F"/>
    <w:rsid w:val="620B1AA6"/>
    <w:rsid w:val="63745496"/>
    <w:rsid w:val="6391B2F9"/>
    <w:rsid w:val="6431615D"/>
    <w:rsid w:val="64B0C2F1"/>
    <w:rsid w:val="65BE43B1"/>
    <w:rsid w:val="6701FB12"/>
    <w:rsid w:val="67F3D629"/>
    <w:rsid w:val="6812DCA5"/>
    <w:rsid w:val="6A8FDEA4"/>
    <w:rsid w:val="6C6FD075"/>
    <w:rsid w:val="6CAD65EF"/>
    <w:rsid w:val="6CF00F07"/>
    <w:rsid w:val="6D20099D"/>
    <w:rsid w:val="6DD40200"/>
    <w:rsid w:val="6E8E798D"/>
    <w:rsid w:val="6ED2FFD4"/>
    <w:rsid w:val="6F1C8434"/>
    <w:rsid w:val="6F45C25D"/>
    <w:rsid w:val="70242E99"/>
    <w:rsid w:val="70CBF70A"/>
    <w:rsid w:val="71C294F5"/>
    <w:rsid w:val="7271858F"/>
    <w:rsid w:val="72987C73"/>
    <w:rsid w:val="73A7874A"/>
    <w:rsid w:val="73C17F91"/>
    <w:rsid w:val="7470F121"/>
    <w:rsid w:val="75632B45"/>
    <w:rsid w:val="76F4B010"/>
    <w:rsid w:val="77775356"/>
    <w:rsid w:val="77EFE102"/>
    <w:rsid w:val="78128E13"/>
    <w:rsid w:val="79F7A612"/>
    <w:rsid w:val="7B69C77E"/>
    <w:rsid w:val="7C5F2ADD"/>
    <w:rsid w:val="7C7D5357"/>
    <w:rsid w:val="7D039CC0"/>
    <w:rsid w:val="7D0F9302"/>
    <w:rsid w:val="7DECF1B4"/>
    <w:rsid w:val="7E068571"/>
    <w:rsid w:val="7E1958EB"/>
    <w:rsid w:val="7E4D552B"/>
    <w:rsid w:val="7FC38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FFD4"/>
  <w15:chartTrackingRefBased/>
  <w15:docId w15:val="{77C3A5F0-9EFC-43B5-9AF6-1F60EE5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7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2B"/>
  </w:style>
  <w:style w:type="paragraph" w:styleId="Footer">
    <w:name w:val="footer"/>
    <w:basedOn w:val="Normal"/>
    <w:link w:val="FooterChar"/>
    <w:uiPriority w:val="99"/>
    <w:unhideWhenUsed/>
    <w:rsid w:val="0087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licy.iwd.iowa.gov/Policy/Index?id=139&amp;Version=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w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1761</Words>
  <Characters>10043</Characters>
  <Application>Microsoft Office Word</Application>
  <DocSecurity>0</DocSecurity>
  <Lines>83</Lines>
  <Paragraphs>23</Paragraphs>
  <ScaleCrop>false</ScaleCrop>
  <Company/>
  <LinksUpToDate>false</LinksUpToDate>
  <CharactersWithSpaces>11781</CharactersWithSpaces>
  <SharedDoc>false</SharedDoc>
  <HLinks>
    <vt:vector size="12" baseType="variant">
      <vt:variant>
        <vt:i4>5570561</vt:i4>
      </vt:variant>
      <vt:variant>
        <vt:i4>3</vt:i4>
      </vt:variant>
      <vt:variant>
        <vt:i4>0</vt:i4>
      </vt:variant>
      <vt:variant>
        <vt:i4>5</vt:i4>
      </vt:variant>
      <vt:variant>
        <vt:lpwstr>http://www.ciwdb.org/</vt:lpwstr>
      </vt:variant>
      <vt:variant>
        <vt:lpwstr/>
      </vt:variant>
      <vt:variant>
        <vt:i4>3932200</vt:i4>
      </vt:variant>
      <vt:variant>
        <vt:i4>0</vt:i4>
      </vt:variant>
      <vt:variant>
        <vt:i4>0</vt:i4>
      </vt:variant>
      <vt:variant>
        <vt:i4>5</vt:i4>
      </vt:variant>
      <vt:variant>
        <vt:lpwstr>https://epolicy.iwd.iowa.gov/Policy/Index?id=139&amp;Version=1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Kress</dc:creator>
  <cp:keywords/>
  <dc:description/>
  <cp:lastModifiedBy>Rebekah Brandmeyer</cp:lastModifiedBy>
  <cp:revision>2</cp:revision>
  <dcterms:created xsi:type="dcterms:W3CDTF">2025-01-02T18:17:00Z</dcterms:created>
  <dcterms:modified xsi:type="dcterms:W3CDTF">2025-01-02T18:17:00Z</dcterms:modified>
</cp:coreProperties>
</file>